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23.png" ContentType="image/png"/>
  <Override PartName="/word/media/image22.png" ContentType="image/png"/>
  <Override PartName="/word/media/image21.png" ContentType="image/png"/>
  <Override PartName="/word/media/image19.png" ContentType="image/png"/>
  <Override PartName="/word/media/image20.png" ContentType="image/png"/>
  <Override PartName="/word/media/image18.png" ContentType="image/png"/>
  <Override PartName="/word/media/image17.png" ContentType="image/png"/>
  <Override PartName="/word/media/image30.png" ContentType="image/png"/>
  <Override PartName="/word/media/image28.png" ContentType="image/png"/>
  <Override PartName="/word/media/image10.png" ContentType="image/png"/>
  <Override PartName="/word/media/image29.png" ContentType="image/png"/>
  <Override PartName="/word/media/image5.png" ContentType="image/png"/>
  <Override PartName="/word/media/image35.png" ContentType="image/png"/>
  <Override PartName="/word/media/image11.png" ContentType="image/png"/>
  <Override PartName="/word/media/image6.png" ContentType="image/png"/>
  <Override PartName="/word/media/image36.png" ContentType="image/png"/>
  <Override PartName="/word/media/image7.png" ContentType="image/png"/>
  <Override PartName="/word/media/image12.png" ContentType="image/png"/>
  <Override PartName="/word/media/image8.png" ContentType="image/png"/>
  <Override PartName="/word/media/image13.png" ContentType="image/png"/>
  <Override PartName="/word/media/image9.png" ContentType="image/png"/>
  <Override PartName="/word/media/image34.png" ContentType="image/png"/>
  <Override PartName="/word/media/image4.png" ContentType="image/png"/>
  <Override PartName="/word/media/image27.png" ContentType="image/png"/>
  <Override PartName="/word/media/image33.png" ContentType="image/png"/>
  <Override PartName="/word/media/image3.png" ContentType="image/png"/>
  <Override PartName="/word/media/image26.png" ContentType="image/png"/>
  <Override PartName="/word/media/image32.png" ContentType="image/png"/>
  <Override PartName="/word/media/image2.png" ContentType="image/png"/>
  <Override PartName="/word/media/image25.png" ContentType="image/png"/>
  <Override PartName="/word/media/image31.png" ContentType="image/png"/>
  <Override PartName="/word/media/image1.png" ContentType="image/png"/>
  <Override PartName="/word/media/image24.png" ContentType="image/png"/>
  <Override PartName="/word/media/image14.png" ContentType="image/png"/>
  <Override PartName="/word/media/image15.png" ContentType="image/png"/>
  <Override PartName="/word/media/image16.png" ContentType="image/png"/>
  <Override PartName="/word/styles.xml" ContentType="application/vnd.openxmlformats-officedocument.wordprocessingml.styles+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comments.xml" ContentType="application/vnd.openxmlformats-officedocument.wordprocessingml.comments+xml"/>
  <Override PartName="/word/fontTable.xml" ContentType="application/vnd.openxmlformats-officedocument.wordprocessingml.fontTable+xml"/>
  <Override PartName="/word/numbering.xml" ContentType="application/vnd.openxmlformats-officedocument.wordprocessingml.numbering+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120" w:after="0"/>
        <w:jc w:val="center"/>
        <w:rPr>
          <w:rFonts w:ascii="Calibri" w:hAnsi="Calibri" w:cs="Cambria"/>
          <w:b/>
          <w:b/>
          <w:bCs/>
          <w:color w:val="95B3D7"/>
          <w:sz w:val="40"/>
          <w:szCs w:val="40"/>
        </w:rPr>
      </w:pPr>
      <w:r>
        <w:rPr>
          <w:rFonts w:cs="Cambria" w:ascii="Calibri" w:hAnsi="Calibri"/>
          <w:b/>
          <w:bCs/>
          <w:color w:val="95B3D7"/>
          <w:sz w:val="40"/>
          <w:szCs w:val="40"/>
        </w:rPr>
      </w:r>
    </w:p>
    <w:p>
      <w:pPr>
        <w:pStyle w:val="Normal"/>
        <w:spacing w:before="120" w:after="0"/>
        <w:jc w:val="center"/>
        <w:rPr>
          <w:rFonts w:ascii="Calibri" w:hAnsi="Calibri" w:cs="Cambria"/>
          <w:b/>
          <w:b/>
          <w:bCs/>
          <w:color w:val="95B3D7"/>
          <w:sz w:val="40"/>
          <w:szCs w:val="40"/>
        </w:rPr>
      </w:pPr>
      <w:r>
        <w:rPr>
          <w:rFonts w:cs="Cambria" w:ascii="Calibri" w:hAnsi="Calibri"/>
          <w:b/>
          <w:bCs/>
          <w:color w:val="95B3D7"/>
          <w:sz w:val="40"/>
          <w:szCs w:val="40"/>
        </w:rPr>
      </w:r>
    </w:p>
    <w:p>
      <w:pPr>
        <w:pStyle w:val="Normal"/>
        <w:spacing w:before="120" w:after="0"/>
        <w:jc w:val="center"/>
        <w:rPr>
          <w:rFonts w:ascii="Calibri" w:hAnsi="Calibri" w:cs="Cambria"/>
          <w:b/>
          <w:b/>
          <w:bCs/>
          <w:color w:val="95B3D7"/>
          <w:sz w:val="40"/>
          <w:szCs w:val="40"/>
        </w:rPr>
      </w:pPr>
      <w:r>
        <w:rPr>
          <w:rFonts w:cs="Cambria" w:ascii="Calibri" w:hAnsi="Calibri"/>
          <w:b/>
          <w:bCs/>
          <w:color w:val="95B3D7"/>
          <w:sz w:val="40"/>
          <w:szCs w:val="40"/>
        </w:rPr>
      </w:r>
    </w:p>
    <w:p>
      <w:pPr>
        <w:pStyle w:val="Normal"/>
        <w:spacing w:before="120" w:after="0"/>
        <w:jc w:val="center"/>
        <w:rPr>
          <w:rFonts w:ascii="Calibri" w:hAnsi="Calibri" w:cs="Cambria"/>
          <w:b/>
          <w:b/>
          <w:bCs/>
          <w:color w:val="95B3D7"/>
          <w:sz w:val="56"/>
          <w:szCs w:val="56"/>
        </w:rPr>
      </w:pPr>
      <w:r>
        <w:rPr>
          <w:rFonts w:cs="Cambria" w:ascii="Calibri" w:hAnsi="Calibri"/>
          <w:b/>
          <w:bCs/>
          <w:color w:val="95B3D7"/>
          <w:sz w:val="56"/>
          <w:szCs w:val="56"/>
        </w:rPr>
        <w:t>Contrat de Recherche relatif à la propagation de la marée en estuaire</w:t>
      </w:r>
    </w:p>
    <w:p>
      <w:pPr>
        <w:pStyle w:val="Normal"/>
        <w:jc w:val="center"/>
        <w:rPr>
          <w:b/>
          <w:b/>
          <w:sz w:val="56"/>
          <w:szCs w:val="56"/>
        </w:rPr>
      </w:pPr>
      <w:r>
        <w:rPr>
          <w:b/>
          <w:sz w:val="56"/>
          <w:szCs w:val="56"/>
        </w:rPr>
      </w:r>
    </w:p>
    <w:p>
      <w:pPr>
        <w:pStyle w:val="Normal"/>
        <w:jc w:val="center"/>
        <w:rPr>
          <w:rFonts w:ascii="Calibri" w:hAnsi="Calibri"/>
          <w:b/>
          <w:b/>
          <w:sz w:val="44"/>
          <w:szCs w:val="44"/>
        </w:rPr>
      </w:pPr>
      <w:r>
        <w:rPr>
          <w:rFonts w:ascii="Calibri" w:hAnsi="Calibri"/>
          <w:b/>
          <w:sz w:val="44"/>
          <w:szCs w:val="44"/>
        </w:rPr>
        <w:t>Contrat de recherche n° 16CP09</w:t>
      </w:r>
    </w:p>
    <w:p>
      <w:pPr>
        <w:pStyle w:val="Normal"/>
        <w:jc w:val="center"/>
        <w:rPr>
          <w:rFonts w:ascii="Calibri" w:hAnsi="Calibri"/>
          <w:b/>
          <w:b/>
          <w:sz w:val="56"/>
          <w:szCs w:val="56"/>
        </w:rPr>
      </w:pPr>
      <w:r>
        <w:rPr>
          <w:rFonts w:ascii="Calibri" w:hAnsi="Calibri"/>
          <w:b/>
          <w:sz w:val="56"/>
          <w:szCs w:val="56"/>
        </w:rPr>
      </w:r>
    </w:p>
    <w:p>
      <w:pPr>
        <w:pStyle w:val="Normal"/>
        <w:jc w:val="center"/>
        <w:rPr>
          <w:rFonts w:ascii="Calibri" w:hAnsi="Calibri" w:cs="OpenSans,Bold"/>
          <w:b/>
          <w:b/>
          <w:bCs/>
        </w:rPr>
      </w:pPr>
      <w:r>
        <w:rPr>
          <w:rFonts w:cs="OpenSans,Bold" w:ascii="Calibri" w:hAnsi="Calibri"/>
          <w:b/>
          <w:bCs/>
        </w:rPr>
      </w:r>
    </w:p>
    <w:p>
      <w:pPr>
        <w:pStyle w:val="Normal"/>
        <w:jc w:val="center"/>
        <w:rPr>
          <w:rFonts w:ascii="Calibri" w:hAnsi="Calibri" w:cs="OpenSans,Bold"/>
          <w:b/>
          <w:b/>
          <w:bCs/>
        </w:rPr>
      </w:pPr>
      <w:r>
        <w:rPr>
          <w:rFonts w:cs="OpenSans,Bold" w:ascii="Calibri" w:hAnsi="Calibri"/>
          <w:b/>
          <w:bCs/>
        </w:rPr>
      </w:r>
    </w:p>
    <w:p>
      <w:pPr>
        <w:pStyle w:val="Normal"/>
        <w:jc w:val="center"/>
        <w:rPr>
          <w:rFonts w:ascii="Calibri" w:hAnsi="Calibri" w:cs="OpenSans,Bold"/>
          <w:b/>
          <w:b/>
          <w:bCs/>
        </w:rPr>
      </w:pPr>
      <w:r>
        <w:rPr>
          <w:rFonts w:cs="OpenSans,Bold" w:ascii="Calibri" w:hAnsi="Calibri"/>
          <w:b/>
          <w:bCs/>
        </w:rPr>
      </w:r>
    </w:p>
    <w:p>
      <w:pPr>
        <w:pStyle w:val="Normal"/>
        <w:jc w:val="center"/>
        <w:rPr>
          <w:rFonts w:ascii="Calibri" w:hAnsi="Calibri"/>
          <w:b/>
          <w:b/>
          <w:sz w:val="56"/>
          <w:szCs w:val="56"/>
        </w:rPr>
      </w:pPr>
      <w:r>
        <w:rPr>
          <w:rFonts w:ascii="Calibri" w:hAnsi="Calibri"/>
          <w:b/>
          <w:sz w:val="56"/>
          <w:szCs w:val="56"/>
        </w:rPr>
        <w:t>Rapport final</w:t>
      </w:r>
    </w:p>
    <w:p>
      <w:pPr>
        <w:pStyle w:val="Normal"/>
        <w:jc w:val="center"/>
        <w:rPr>
          <w:rFonts w:ascii="Calibri" w:hAnsi="Calibri"/>
          <w:b/>
          <w:b/>
          <w:sz w:val="56"/>
          <w:szCs w:val="56"/>
        </w:rPr>
      </w:pPr>
      <w:r>
        <w:rPr>
          <w:rFonts w:ascii="Calibri" w:hAnsi="Calibri"/>
          <w:b/>
          <w:sz w:val="56"/>
          <w:szCs w:val="56"/>
        </w:rPr>
      </w:r>
    </w:p>
    <w:p>
      <w:pPr>
        <w:pStyle w:val="Normal"/>
        <w:jc w:val="center"/>
        <w:rPr>
          <w:rFonts w:ascii="Calibri" w:hAnsi="Calibri"/>
          <w:b/>
          <w:b/>
          <w:sz w:val="36"/>
          <w:szCs w:val="36"/>
        </w:rPr>
      </w:pPr>
      <w:r>
        <w:rPr>
          <w:rFonts w:ascii="Calibri" w:hAnsi="Calibri"/>
          <w:b/>
          <w:sz w:val="36"/>
          <w:szCs w:val="36"/>
        </w:rPr>
        <w:t>10/11/2020</w:t>
      </w:r>
    </w:p>
    <w:p>
      <w:pPr>
        <w:pStyle w:val="Normal"/>
        <w:jc w:val="center"/>
        <w:rPr>
          <w:rFonts w:ascii="Calibri" w:hAnsi="Calibri" w:cs="OpenSans,Bold"/>
          <w:b/>
          <w:b/>
          <w:bCs/>
        </w:rPr>
      </w:pPr>
      <w:r>
        <w:rPr>
          <w:rFonts w:cs="OpenSans,Bold" w:ascii="Calibri" w:hAnsi="Calibri"/>
          <w:b/>
          <w:bCs/>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pPr>
      <w:r>
        <w:rPr>
          <w:rFonts w:ascii="Calibri" w:hAnsi="Calibri"/>
        </w:rPr>
        <w:t>Laboratoire LEGOS, Toulouse,</w:t>
        <w:tab/>
      </w:r>
      <w:hyperlink r:id="rId2">
        <w:r>
          <w:rPr>
            <w:rStyle w:val="InternetLink"/>
            <w:rFonts w:ascii="Calibri" w:hAnsi="Calibri"/>
          </w:rPr>
          <w:t>florent.lyard@legos.obs-mip.fr</w:t>
        </w:r>
      </w:hyperlink>
      <w:r>
        <w:rPr>
          <w:rFonts w:ascii="Calibri" w:hAnsi="Calibri"/>
        </w:rPr>
        <w:t xml:space="preserve"> </w:t>
        <w:tab/>
      </w:r>
    </w:p>
    <w:p>
      <w:pPr>
        <w:pStyle w:val="Normal"/>
        <w:rPr>
          <w:rFonts w:ascii="Calibri" w:hAnsi="Calibri" w:eastAsia="Calibri" w:cs="Calibri"/>
          <w:b/>
          <w:b/>
          <w:sz w:val="24"/>
          <w:szCs w:val="24"/>
        </w:rPr>
      </w:pPr>
      <w:r>
        <w:rPr>
          <w:rFonts w:eastAsia="Calibri" w:cs="Calibri" w:ascii="Calibri" w:hAnsi="Calibri"/>
          <w:b/>
          <w:sz w:val="24"/>
          <w:szCs w:val="24"/>
        </w:rPr>
      </w:r>
    </w:p>
    <w:sdt>
      <w:sdtPr>
        <w:docPartObj>
          <w:docPartGallery w:val="Table of Contents"/>
          <w:docPartUnique w:val="true"/>
        </w:docPartObj>
      </w:sdtPr>
      <w:sdtContent>
        <w:p>
          <w:pPr>
            <w:pStyle w:val="Contents1"/>
            <w:tabs>
              <w:tab w:val="clear" w:pos="720"/>
              <w:tab w:val="left" w:pos="440" w:leader="none"/>
              <w:tab w:val="right" w:pos="9016" w:leader="dot"/>
            </w:tabs>
            <w:rPr/>
          </w:pPr>
          <w:r>
            <w:fldChar w:fldCharType="begin"/>
          </w:r>
          <w:r>
            <w:rPr>
              <w:rStyle w:val="IndexLink"/>
            </w:rPr>
            <w:instrText> TOC \o "1-3" \h</w:instrText>
          </w:r>
          <w:r>
            <w:rPr>
              <w:rStyle w:val="IndexLink"/>
            </w:rPr>
            <w:fldChar w:fldCharType="separate"/>
          </w:r>
          <w:hyperlink w:anchor="_Toc56526503">
            <w:r>
              <w:rPr>
                <w:rStyle w:val="IndexLink"/>
              </w:rPr>
              <w:t>1.</w:t>
            </w:r>
          </w:hyperlink>
          <w:hyperlink w:anchor="_Toc56526503">
            <w:r>
              <w:rPr>
                <w:webHidden/>
              </w:rPr>
              <w:fldChar w:fldCharType="begin"/>
            </w:r>
            <w:r>
              <w:rPr>
                <w:webHidden/>
              </w:rPr>
              <w:instrText>PAGEREF _Toc56526503 \h</w:instrText>
            </w:r>
            <w:r>
              <w:rPr>
                <w:webHidden/>
              </w:rPr>
              <w:fldChar w:fldCharType="separate"/>
            </w:r>
            <w:r>
              <w:rPr>
                <w:rStyle w:val="IndexLink"/>
                <w:rFonts w:ascii="Cambria" w:hAnsi="Cambria"/>
              </w:rPr>
              <w:tab/>
            </w:r>
            <w:r>
              <w:rPr>
                <w:webHidden/>
              </w:rPr>
              <w:fldChar w:fldCharType="end"/>
            </w:r>
          </w:hyperlink>
          <w:hyperlink w:anchor="_Toc56526503">
            <w:r>
              <w:rPr>
                <w:webHidden/>
              </w:rPr>
              <w:fldChar w:fldCharType="begin"/>
            </w:r>
            <w:r>
              <w:rPr>
                <w:webHidden/>
              </w:rPr>
              <w:instrText>PAGEREF _Toc56526503 \h</w:instrText>
            </w:r>
            <w:r>
              <w:rPr>
                <w:webHidden/>
              </w:rPr>
              <w:fldChar w:fldCharType="separate"/>
            </w:r>
            <w:r>
              <w:rPr>
                <w:rStyle w:val="IndexLink"/>
              </w:rPr>
              <w:t>Campagne CalNaGeo-Gironde 2018</w:t>
            </w:r>
            <w:r>
              <w:rPr>
                <w:webHidden/>
              </w:rPr>
              <w:fldChar w:fldCharType="end"/>
            </w:r>
          </w:hyperlink>
          <w:hyperlink w:anchor="_Toc56526503">
            <w:r>
              <w:rPr>
                <w:webHidden/>
              </w:rPr>
              <w:fldChar w:fldCharType="begin"/>
            </w:r>
            <w:r>
              <w:rPr>
                <w:webHidden/>
              </w:rPr>
              <w:instrText>PAGEREF _Toc56526503 \h</w:instrText>
            </w:r>
            <w:r>
              <w:rPr>
                <w:webHidden/>
              </w:rPr>
              <w:fldChar w:fldCharType="separate"/>
            </w:r>
            <w:r>
              <w:rPr>
                <w:rStyle w:val="IndexLink"/>
              </w:rPr>
              <w:tab/>
              <w:t>3</w:t>
            </w:r>
            <w:r>
              <w:rPr>
                <w:webHidden/>
              </w:rPr>
              <w:fldChar w:fldCharType="end"/>
            </w:r>
          </w:hyperlink>
        </w:p>
        <w:p>
          <w:pPr>
            <w:pStyle w:val="Contents1"/>
            <w:tabs>
              <w:tab w:val="clear" w:pos="720"/>
              <w:tab w:val="left" w:pos="440" w:leader="none"/>
              <w:tab w:val="right" w:pos="9016" w:leader="dot"/>
            </w:tabs>
            <w:rPr/>
          </w:pPr>
          <w:hyperlink w:anchor="_Toc56526504">
            <w:r>
              <w:rPr>
                <w:rStyle w:val="IndexLink"/>
              </w:rPr>
              <w:t>2.</w:t>
            </w:r>
          </w:hyperlink>
          <w:hyperlink w:anchor="_Toc56526504">
            <w:r>
              <w:rPr>
                <w:webHidden/>
              </w:rPr>
              <w:fldChar w:fldCharType="begin"/>
            </w:r>
            <w:r>
              <w:rPr>
                <w:webHidden/>
              </w:rPr>
              <w:instrText>PAGEREF _Toc56526504 \h</w:instrText>
            </w:r>
            <w:r>
              <w:rPr>
                <w:webHidden/>
              </w:rPr>
              <w:fldChar w:fldCharType="separate"/>
            </w:r>
            <w:r>
              <w:rPr>
                <w:rStyle w:val="IndexLink"/>
                <w:rFonts w:ascii="Cambria" w:hAnsi="Cambria"/>
              </w:rPr>
              <w:tab/>
            </w:r>
            <w:r>
              <w:rPr>
                <w:webHidden/>
              </w:rPr>
              <w:fldChar w:fldCharType="end"/>
            </w:r>
          </w:hyperlink>
          <w:hyperlink w:anchor="_Toc56526504">
            <w:r>
              <w:rPr>
                <w:webHidden/>
              </w:rPr>
              <w:fldChar w:fldCharType="begin"/>
            </w:r>
            <w:r>
              <w:rPr>
                <w:webHidden/>
              </w:rPr>
              <w:instrText>PAGEREF _Toc56526504 \h</w:instrText>
            </w:r>
            <w:r>
              <w:rPr>
                <w:webHidden/>
              </w:rPr>
              <w:fldChar w:fldCharType="separate"/>
            </w:r>
            <w:r>
              <w:rPr>
                <w:rStyle w:val="IndexLink"/>
              </w:rPr>
              <w:t>Etude numérique de l’estuaire amont</w:t>
            </w:r>
            <w:r>
              <w:rPr>
                <w:webHidden/>
              </w:rPr>
              <w:fldChar w:fldCharType="end"/>
            </w:r>
          </w:hyperlink>
          <w:hyperlink w:anchor="_Toc56526504">
            <w:r>
              <w:rPr>
                <w:webHidden/>
              </w:rPr>
              <w:fldChar w:fldCharType="begin"/>
            </w:r>
            <w:r>
              <w:rPr>
                <w:webHidden/>
              </w:rPr>
              <w:instrText>PAGEREF _Toc56526504 \h</w:instrText>
            </w:r>
            <w:r>
              <w:rPr>
                <w:webHidden/>
              </w:rPr>
              <w:fldChar w:fldCharType="separate"/>
            </w:r>
            <w:r>
              <w:rPr>
                <w:rStyle w:val="IndexLink"/>
              </w:rPr>
              <w:tab/>
              <w:t>4</w:t>
            </w:r>
            <w:r>
              <w:rPr>
                <w:webHidden/>
              </w:rPr>
              <w:fldChar w:fldCharType="end"/>
            </w:r>
          </w:hyperlink>
        </w:p>
        <w:p>
          <w:pPr>
            <w:pStyle w:val="Contents2"/>
            <w:tabs>
              <w:tab w:val="clear" w:pos="720"/>
              <w:tab w:val="left" w:pos="880" w:leader="none"/>
              <w:tab w:val="right" w:pos="9016" w:leader="dot"/>
            </w:tabs>
            <w:rPr/>
          </w:pPr>
          <w:hyperlink w:anchor="_Toc56526505">
            <w:r>
              <w:rPr>
                <w:rStyle w:val="IndexLink"/>
              </w:rPr>
              <w:t>2.1.</w:t>
            </w:r>
          </w:hyperlink>
          <w:hyperlink w:anchor="_Toc56526505">
            <w:r>
              <w:rPr>
                <w:webHidden/>
              </w:rPr>
              <w:fldChar w:fldCharType="begin"/>
            </w:r>
            <w:r>
              <w:rPr>
                <w:webHidden/>
              </w:rPr>
              <w:instrText>PAGEREF _Toc56526505 \h</w:instrText>
            </w:r>
            <w:r>
              <w:rPr>
                <w:webHidden/>
              </w:rPr>
              <w:fldChar w:fldCharType="separate"/>
            </w:r>
            <w:r>
              <w:rPr>
                <w:rStyle w:val="IndexLink"/>
                <w:rFonts w:ascii="Cambria" w:hAnsi="Cambria"/>
              </w:rPr>
              <w:tab/>
            </w:r>
            <w:r>
              <w:rPr>
                <w:webHidden/>
              </w:rPr>
              <w:fldChar w:fldCharType="end"/>
            </w:r>
          </w:hyperlink>
          <w:hyperlink w:anchor="_Toc56526505">
            <w:r>
              <w:rPr>
                <w:webHidden/>
              </w:rPr>
              <w:fldChar w:fldCharType="begin"/>
            </w:r>
            <w:r>
              <w:rPr>
                <w:webHidden/>
              </w:rPr>
              <w:instrText>PAGEREF _Toc56526505 \h</w:instrText>
            </w:r>
            <w:r>
              <w:rPr>
                <w:webHidden/>
              </w:rPr>
              <w:fldChar w:fldCharType="separate"/>
            </w:r>
            <w:r>
              <w:rPr>
                <w:rStyle w:val="IndexLink"/>
              </w:rPr>
              <w:t>Contexte et objectifs</w:t>
            </w:r>
            <w:r>
              <w:rPr>
                <w:webHidden/>
              </w:rPr>
              <w:fldChar w:fldCharType="end"/>
            </w:r>
          </w:hyperlink>
          <w:hyperlink w:anchor="_Toc56526505">
            <w:r>
              <w:rPr>
                <w:webHidden/>
              </w:rPr>
              <w:fldChar w:fldCharType="begin"/>
            </w:r>
            <w:r>
              <w:rPr>
                <w:webHidden/>
              </w:rPr>
              <w:instrText>PAGEREF _Toc56526505 \h</w:instrText>
            </w:r>
            <w:r>
              <w:rPr>
                <w:webHidden/>
              </w:rPr>
              <w:fldChar w:fldCharType="separate"/>
            </w:r>
            <w:r>
              <w:rPr>
                <w:rStyle w:val="IndexLink"/>
              </w:rPr>
              <w:tab/>
              <w:t>4</w:t>
            </w:r>
            <w:r>
              <w:rPr>
                <w:webHidden/>
              </w:rPr>
              <w:fldChar w:fldCharType="end"/>
            </w:r>
          </w:hyperlink>
        </w:p>
        <w:p>
          <w:pPr>
            <w:pStyle w:val="Contents2"/>
            <w:tabs>
              <w:tab w:val="clear" w:pos="720"/>
              <w:tab w:val="left" w:pos="880" w:leader="none"/>
              <w:tab w:val="right" w:pos="9016" w:leader="dot"/>
            </w:tabs>
            <w:rPr/>
          </w:pPr>
          <w:hyperlink w:anchor="_Toc56526506">
            <w:r>
              <w:rPr>
                <w:rStyle w:val="IndexLink"/>
              </w:rPr>
              <w:t>2.2.</w:t>
            </w:r>
          </w:hyperlink>
          <w:hyperlink w:anchor="_Toc56526506">
            <w:r>
              <w:rPr>
                <w:webHidden/>
              </w:rPr>
              <w:fldChar w:fldCharType="begin"/>
            </w:r>
            <w:r>
              <w:rPr>
                <w:webHidden/>
              </w:rPr>
              <w:instrText>PAGEREF _Toc56526506 \h</w:instrText>
            </w:r>
            <w:r>
              <w:rPr>
                <w:webHidden/>
              </w:rPr>
              <w:fldChar w:fldCharType="separate"/>
            </w:r>
            <w:r>
              <w:rPr>
                <w:rStyle w:val="IndexLink"/>
                <w:rFonts w:ascii="Cambria" w:hAnsi="Cambria"/>
              </w:rPr>
              <w:tab/>
            </w:r>
            <w:r>
              <w:rPr>
                <w:webHidden/>
              </w:rPr>
              <w:fldChar w:fldCharType="end"/>
            </w:r>
          </w:hyperlink>
          <w:hyperlink w:anchor="_Toc56526506">
            <w:r>
              <w:rPr>
                <w:webHidden/>
              </w:rPr>
              <w:fldChar w:fldCharType="begin"/>
            </w:r>
            <w:r>
              <w:rPr>
                <w:webHidden/>
              </w:rPr>
              <w:instrText>PAGEREF _Toc56526506 \h</w:instrText>
            </w:r>
            <w:r>
              <w:rPr>
                <w:webHidden/>
              </w:rPr>
              <w:fldChar w:fldCharType="separate"/>
            </w:r>
            <w:r>
              <w:rPr>
                <w:rStyle w:val="IndexLink"/>
              </w:rPr>
              <w:t>Etudes de sensibilité (simulation académique)</w:t>
            </w:r>
            <w:r>
              <w:rPr>
                <w:webHidden/>
              </w:rPr>
              <w:fldChar w:fldCharType="end"/>
            </w:r>
          </w:hyperlink>
          <w:hyperlink w:anchor="_Toc56526506">
            <w:r>
              <w:rPr>
                <w:webHidden/>
              </w:rPr>
              <w:fldChar w:fldCharType="begin"/>
            </w:r>
            <w:r>
              <w:rPr>
                <w:webHidden/>
              </w:rPr>
              <w:instrText>PAGEREF _Toc56526506 \h</w:instrText>
            </w:r>
            <w:r>
              <w:rPr>
                <w:webHidden/>
              </w:rPr>
              <w:fldChar w:fldCharType="separate"/>
            </w:r>
            <w:r>
              <w:rPr>
                <w:rStyle w:val="IndexLink"/>
              </w:rPr>
              <w:tab/>
              <w:t>6</w:t>
            </w:r>
            <w:r>
              <w:rPr>
                <w:webHidden/>
              </w:rPr>
              <w:fldChar w:fldCharType="end"/>
            </w:r>
          </w:hyperlink>
        </w:p>
        <w:p>
          <w:pPr>
            <w:pStyle w:val="Contents2"/>
            <w:tabs>
              <w:tab w:val="clear" w:pos="720"/>
              <w:tab w:val="left" w:pos="880" w:leader="none"/>
              <w:tab w:val="right" w:pos="9016" w:leader="dot"/>
            </w:tabs>
            <w:rPr/>
          </w:pPr>
          <w:hyperlink w:anchor="_Toc56526507">
            <w:r>
              <w:rPr>
                <w:rStyle w:val="IndexLink"/>
              </w:rPr>
              <w:t>2.3.</w:t>
            </w:r>
          </w:hyperlink>
          <w:hyperlink w:anchor="_Toc56526507">
            <w:r>
              <w:rPr>
                <w:webHidden/>
              </w:rPr>
              <w:fldChar w:fldCharType="begin"/>
            </w:r>
            <w:r>
              <w:rPr>
                <w:webHidden/>
              </w:rPr>
              <w:instrText>PAGEREF _Toc56526507 \h</w:instrText>
            </w:r>
            <w:r>
              <w:rPr>
                <w:webHidden/>
              </w:rPr>
              <w:fldChar w:fldCharType="separate"/>
            </w:r>
            <w:r>
              <w:rPr>
                <w:rStyle w:val="IndexLink"/>
                <w:rFonts w:ascii="Cambria" w:hAnsi="Cambria"/>
              </w:rPr>
              <w:tab/>
            </w:r>
            <w:r>
              <w:rPr>
                <w:webHidden/>
              </w:rPr>
              <w:fldChar w:fldCharType="end"/>
            </w:r>
          </w:hyperlink>
          <w:hyperlink w:anchor="_Toc56526507">
            <w:r>
              <w:rPr>
                <w:webHidden/>
              </w:rPr>
              <w:fldChar w:fldCharType="begin"/>
            </w:r>
            <w:r>
              <w:rPr>
                <w:webHidden/>
              </w:rPr>
              <w:instrText>PAGEREF _Toc56526507 \h</w:instrText>
            </w:r>
            <w:r>
              <w:rPr>
                <w:webHidden/>
              </w:rPr>
              <w:fldChar w:fldCharType="separate"/>
            </w:r>
            <w:r>
              <w:rPr>
                <w:rStyle w:val="IndexLink"/>
              </w:rPr>
              <w:t>Calibration amont de la configuration Gironde</w:t>
            </w:r>
            <w:r>
              <w:rPr>
                <w:webHidden/>
              </w:rPr>
              <w:fldChar w:fldCharType="end"/>
            </w:r>
          </w:hyperlink>
          <w:hyperlink w:anchor="_Toc56526507">
            <w:r>
              <w:rPr>
                <w:webHidden/>
              </w:rPr>
              <w:fldChar w:fldCharType="begin"/>
            </w:r>
            <w:r>
              <w:rPr>
                <w:webHidden/>
              </w:rPr>
              <w:instrText>PAGEREF _Toc56526507 \h</w:instrText>
            </w:r>
            <w:r>
              <w:rPr>
                <w:webHidden/>
              </w:rPr>
              <w:fldChar w:fldCharType="separate"/>
            </w:r>
            <w:r>
              <w:rPr>
                <w:rStyle w:val="IndexLink"/>
              </w:rPr>
              <w:tab/>
              <w:t>12</w:t>
            </w:r>
            <w:r>
              <w:rPr>
                <w:webHidden/>
              </w:rPr>
              <w:fldChar w:fldCharType="end"/>
            </w:r>
          </w:hyperlink>
        </w:p>
        <w:p>
          <w:pPr>
            <w:pStyle w:val="Contents3"/>
            <w:tabs>
              <w:tab w:val="clear" w:pos="720"/>
              <w:tab w:val="left" w:pos="1320" w:leader="none"/>
              <w:tab w:val="right" w:pos="9016" w:leader="dot"/>
            </w:tabs>
            <w:rPr/>
          </w:pPr>
          <w:hyperlink w:anchor="_Toc56526508">
            <w:r>
              <w:rPr>
                <w:rStyle w:val="IndexLink"/>
              </w:rPr>
              <w:t>2.3.1.</w:t>
            </w:r>
          </w:hyperlink>
          <w:hyperlink w:anchor="_Toc56526508">
            <w:r>
              <w:rPr>
                <w:webHidden/>
              </w:rPr>
              <w:fldChar w:fldCharType="begin"/>
            </w:r>
            <w:r>
              <w:rPr>
                <w:webHidden/>
              </w:rPr>
              <w:instrText>PAGEREF _Toc56526508 \h</w:instrText>
            </w:r>
            <w:r>
              <w:rPr>
                <w:webHidden/>
              </w:rPr>
              <w:fldChar w:fldCharType="separate"/>
            </w:r>
            <w:r>
              <w:rPr>
                <w:rStyle w:val="IndexLink"/>
                <w:rFonts w:ascii="Cambria" w:hAnsi="Cambria"/>
              </w:rPr>
              <w:tab/>
            </w:r>
            <w:r>
              <w:rPr>
                <w:webHidden/>
              </w:rPr>
              <w:fldChar w:fldCharType="end"/>
            </w:r>
          </w:hyperlink>
          <w:hyperlink w:anchor="_Toc56526508">
            <w:r>
              <w:rPr>
                <w:webHidden/>
              </w:rPr>
              <w:fldChar w:fldCharType="begin"/>
            </w:r>
            <w:r>
              <w:rPr>
                <w:webHidden/>
              </w:rPr>
              <w:instrText>PAGEREF _Toc56526508 \h</w:instrText>
            </w:r>
            <w:r>
              <w:rPr>
                <w:webHidden/>
              </w:rPr>
              <w:fldChar w:fldCharType="separate"/>
            </w:r>
            <w:r>
              <w:rPr>
                <w:rStyle w:val="IndexLink"/>
              </w:rPr>
              <w:t>Courbe de tarage</w:t>
            </w:r>
            <w:r>
              <w:rPr>
                <w:webHidden/>
              </w:rPr>
              <w:fldChar w:fldCharType="end"/>
            </w:r>
          </w:hyperlink>
          <w:hyperlink w:anchor="_Toc56526508">
            <w:r>
              <w:rPr>
                <w:webHidden/>
              </w:rPr>
              <w:fldChar w:fldCharType="begin"/>
            </w:r>
            <w:r>
              <w:rPr>
                <w:webHidden/>
              </w:rPr>
              <w:instrText>PAGEREF _Toc56526508 \h</w:instrText>
            </w:r>
            <w:r>
              <w:rPr>
                <w:webHidden/>
              </w:rPr>
              <w:fldChar w:fldCharType="separate"/>
            </w:r>
            <w:r>
              <w:rPr>
                <w:rStyle w:val="IndexLink"/>
              </w:rPr>
              <w:tab/>
              <w:t>14</w:t>
            </w:r>
            <w:r>
              <w:rPr>
                <w:webHidden/>
              </w:rPr>
              <w:fldChar w:fldCharType="end"/>
            </w:r>
          </w:hyperlink>
        </w:p>
        <w:p>
          <w:pPr>
            <w:pStyle w:val="Contents3"/>
            <w:tabs>
              <w:tab w:val="clear" w:pos="720"/>
              <w:tab w:val="left" w:pos="1320" w:leader="none"/>
              <w:tab w:val="right" w:pos="9016" w:leader="dot"/>
            </w:tabs>
            <w:rPr/>
          </w:pPr>
          <w:hyperlink w:anchor="_Toc56526509">
            <w:r>
              <w:rPr>
                <w:rStyle w:val="IndexLink"/>
              </w:rPr>
              <w:t>2.3.2.</w:t>
            </w:r>
          </w:hyperlink>
          <w:hyperlink w:anchor="_Toc56526509">
            <w:r>
              <w:rPr>
                <w:webHidden/>
              </w:rPr>
              <w:fldChar w:fldCharType="begin"/>
            </w:r>
            <w:r>
              <w:rPr>
                <w:webHidden/>
              </w:rPr>
              <w:instrText>PAGEREF _Toc56526509 \h</w:instrText>
            </w:r>
            <w:r>
              <w:rPr>
                <w:webHidden/>
              </w:rPr>
              <w:fldChar w:fldCharType="separate"/>
            </w:r>
            <w:r>
              <w:rPr>
                <w:rStyle w:val="IndexLink"/>
                <w:rFonts w:ascii="Cambria" w:hAnsi="Cambria"/>
              </w:rPr>
              <w:tab/>
            </w:r>
            <w:r>
              <w:rPr>
                <w:webHidden/>
              </w:rPr>
              <w:fldChar w:fldCharType="end"/>
            </w:r>
          </w:hyperlink>
          <w:hyperlink w:anchor="_Toc56526509">
            <w:r>
              <w:rPr>
                <w:webHidden/>
              </w:rPr>
              <w:fldChar w:fldCharType="begin"/>
            </w:r>
            <w:r>
              <w:rPr>
                <w:webHidden/>
              </w:rPr>
              <w:instrText>PAGEREF _Toc56526509 \h</w:instrText>
            </w:r>
            <w:r>
              <w:rPr>
                <w:webHidden/>
              </w:rPr>
              <w:fldChar w:fldCharType="separate"/>
            </w:r>
            <w:r>
              <w:rPr>
                <w:rStyle w:val="IndexLink"/>
              </w:rPr>
              <w:t>Calage du débit à La Réole</w:t>
            </w:r>
            <w:r>
              <w:rPr>
                <w:webHidden/>
              </w:rPr>
              <w:fldChar w:fldCharType="end"/>
            </w:r>
          </w:hyperlink>
          <w:hyperlink w:anchor="_Toc56526509">
            <w:r>
              <w:rPr>
                <w:webHidden/>
              </w:rPr>
              <w:fldChar w:fldCharType="begin"/>
            </w:r>
            <w:r>
              <w:rPr>
                <w:webHidden/>
              </w:rPr>
              <w:instrText>PAGEREF _Toc56526509 \h</w:instrText>
            </w:r>
            <w:r>
              <w:rPr>
                <w:webHidden/>
              </w:rPr>
              <w:fldChar w:fldCharType="separate"/>
            </w:r>
            <w:r>
              <w:rPr>
                <w:rStyle w:val="IndexLink"/>
              </w:rPr>
              <w:tab/>
              <w:t>15</w:t>
            </w:r>
            <w:r>
              <w:rPr>
                <w:webHidden/>
              </w:rPr>
              <w:fldChar w:fldCharType="end"/>
            </w:r>
          </w:hyperlink>
        </w:p>
        <w:p>
          <w:pPr>
            <w:pStyle w:val="Contents3"/>
            <w:tabs>
              <w:tab w:val="clear" w:pos="720"/>
              <w:tab w:val="left" w:pos="1320" w:leader="none"/>
              <w:tab w:val="right" w:pos="9016" w:leader="dot"/>
            </w:tabs>
            <w:rPr/>
          </w:pPr>
          <w:hyperlink w:anchor="_Toc56526510">
            <w:r>
              <w:rPr>
                <w:rStyle w:val="IndexLink"/>
              </w:rPr>
              <w:t>2.3.3.</w:t>
            </w:r>
          </w:hyperlink>
          <w:hyperlink w:anchor="_Toc56526510">
            <w:r>
              <w:rPr>
                <w:webHidden/>
              </w:rPr>
              <w:fldChar w:fldCharType="begin"/>
            </w:r>
            <w:r>
              <w:rPr>
                <w:webHidden/>
              </w:rPr>
              <w:instrText>PAGEREF _Toc56526510 \h</w:instrText>
            </w:r>
            <w:r>
              <w:rPr>
                <w:webHidden/>
              </w:rPr>
              <w:fldChar w:fldCharType="separate"/>
            </w:r>
            <w:r>
              <w:rPr>
                <w:rStyle w:val="IndexLink"/>
                <w:rFonts w:ascii="Cambria" w:hAnsi="Cambria"/>
              </w:rPr>
              <w:tab/>
            </w:r>
            <w:r>
              <w:rPr>
                <w:webHidden/>
              </w:rPr>
              <w:fldChar w:fldCharType="end"/>
            </w:r>
          </w:hyperlink>
          <w:hyperlink w:anchor="_Toc56526510">
            <w:r>
              <w:rPr>
                <w:webHidden/>
              </w:rPr>
              <w:fldChar w:fldCharType="begin"/>
            </w:r>
            <w:r>
              <w:rPr>
                <w:webHidden/>
              </w:rPr>
              <w:instrText>PAGEREF _Toc56526510 \h</w:instrText>
            </w:r>
            <w:r>
              <w:rPr>
                <w:webHidden/>
              </w:rPr>
              <w:fldChar w:fldCharType="separate"/>
            </w:r>
            <w:r>
              <w:rPr>
                <w:rStyle w:val="IndexLink"/>
              </w:rPr>
              <w:t>Steady river numerical developments</w:t>
            </w:r>
            <w:r>
              <w:rPr>
                <w:webHidden/>
              </w:rPr>
              <w:fldChar w:fldCharType="end"/>
            </w:r>
          </w:hyperlink>
          <w:hyperlink w:anchor="_Toc56526510">
            <w:r>
              <w:rPr>
                <w:webHidden/>
              </w:rPr>
              <w:fldChar w:fldCharType="begin"/>
            </w:r>
            <w:r>
              <w:rPr>
                <w:webHidden/>
              </w:rPr>
              <w:instrText>PAGEREF _Toc56526510 \h</w:instrText>
            </w:r>
            <w:r>
              <w:rPr>
                <w:webHidden/>
              </w:rPr>
              <w:fldChar w:fldCharType="separate"/>
            </w:r>
            <w:r>
              <w:rPr>
                <w:rStyle w:val="IndexLink"/>
              </w:rPr>
              <w:tab/>
              <w:t>16</w:t>
            </w:r>
            <w:r>
              <w:rPr>
                <w:webHidden/>
              </w:rPr>
              <w:fldChar w:fldCharType="end"/>
            </w:r>
          </w:hyperlink>
        </w:p>
        <w:p>
          <w:pPr>
            <w:pStyle w:val="Contents1"/>
            <w:tabs>
              <w:tab w:val="clear" w:pos="720"/>
              <w:tab w:val="left" w:pos="440" w:leader="none"/>
              <w:tab w:val="right" w:pos="9016" w:leader="dot"/>
            </w:tabs>
            <w:rPr/>
          </w:pPr>
          <w:hyperlink w:anchor="_Toc56526511">
            <w:r>
              <w:rPr>
                <w:rStyle w:val="IndexLink"/>
              </w:rPr>
              <w:t>3.</w:t>
            </w:r>
          </w:hyperlink>
          <w:hyperlink w:anchor="_Toc56526511">
            <w:r>
              <w:rPr>
                <w:webHidden/>
              </w:rPr>
              <w:fldChar w:fldCharType="begin"/>
            </w:r>
            <w:r>
              <w:rPr>
                <w:webHidden/>
              </w:rPr>
              <w:instrText>PAGEREF _Toc56526511 \h</w:instrText>
            </w:r>
            <w:r>
              <w:rPr>
                <w:webHidden/>
              </w:rPr>
              <w:fldChar w:fldCharType="separate"/>
            </w:r>
            <w:r>
              <w:rPr>
                <w:rStyle w:val="IndexLink"/>
                <w:rFonts w:ascii="Cambria" w:hAnsi="Cambria"/>
              </w:rPr>
              <w:tab/>
            </w:r>
            <w:r>
              <w:rPr>
                <w:webHidden/>
              </w:rPr>
              <w:fldChar w:fldCharType="end"/>
            </w:r>
          </w:hyperlink>
          <w:hyperlink w:anchor="_Toc56526511">
            <w:r>
              <w:rPr>
                <w:webHidden/>
              </w:rPr>
              <w:fldChar w:fldCharType="begin"/>
            </w:r>
            <w:r>
              <w:rPr>
                <w:webHidden/>
              </w:rPr>
              <w:instrText>PAGEREF _Toc56526511 \h</w:instrText>
            </w:r>
            <w:r>
              <w:rPr>
                <w:webHidden/>
              </w:rPr>
              <w:fldChar w:fldCharType="separate"/>
            </w:r>
            <w:r>
              <w:rPr>
                <w:rStyle w:val="IndexLink"/>
              </w:rPr>
              <w:t>Analyse du signal de marée</w:t>
            </w:r>
            <w:r>
              <w:rPr>
                <w:webHidden/>
              </w:rPr>
              <w:fldChar w:fldCharType="end"/>
            </w:r>
          </w:hyperlink>
          <w:hyperlink w:anchor="_Toc56526511">
            <w:r>
              <w:rPr>
                <w:webHidden/>
              </w:rPr>
              <w:fldChar w:fldCharType="begin"/>
            </w:r>
            <w:r>
              <w:rPr>
                <w:webHidden/>
              </w:rPr>
              <w:instrText>PAGEREF _Toc56526511 \h</w:instrText>
            </w:r>
            <w:r>
              <w:rPr>
                <w:webHidden/>
              </w:rPr>
              <w:fldChar w:fldCharType="separate"/>
            </w:r>
            <w:r>
              <w:rPr>
                <w:rStyle w:val="IndexLink"/>
              </w:rPr>
              <w:tab/>
              <w:t>33</w:t>
            </w:r>
            <w:r>
              <w:rPr>
                <w:webHidden/>
              </w:rPr>
              <w:fldChar w:fldCharType="end"/>
            </w:r>
          </w:hyperlink>
        </w:p>
        <w:p>
          <w:pPr>
            <w:pStyle w:val="Contents2"/>
            <w:tabs>
              <w:tab w:val="clear" w:pos="720"/>
              <w:tab w:val="left" w:pos="880" w:leader="none"/>
              <w:tab w:val="right" w:pos="9016" w:leader="dot"/>
            </w:tabs>
            <w:rPr/>
          </w:pPr>
          <w:hyperlink w:anchor="_Toc56526512">
            <w:r>
              <w:rPr>
                <w:rStyle w:val="IndexLink"/>
              </w:rPr>
              <w:t>3.1.</w:t>
            </w:r>
          </w:hyperlink>
          <w:hyperlink w:anchor="_Toc56526512">
            <w:r>
              <w:rPr>
                <w:webHidden/>
              </w:rPr>
              <w:fldChar w:fldCharType="begin"/>
            </w:r>
            <w:r>
              <w:rPr>
                <w:webHidden/>
              </w:rPr>
              <w:instrText>PAGEREF _Toc56526512 \h</w:instrText>
            </w:r>
            <w:r>
              <w:rPr>
                <w:webHidden/>
              </w:rPr>
              <w:fldChar w:fldCharType="separate"/>
            </w:r>
            <w:r>
              <w:rPr>
                <w:rStyle w:val="IndexLink"/>
                <w:rFonts w:ascii="Cambria" w:hAnsi="Cambria"/>
              </w:rPr>
              <w:tab/>
            </w:r>
            <w:r>
              <w:rPr>
                <w:webHidden/>
              </w:rPr>
              <w:fldChar w:fldCharType="end"/>
            </w:r>
          </w:hyperlink>
          <w:hyperlink w:anchor="_Toc56526512">
            <w:r>
              <w:rPr>
                <w:webHidden/>
              </w:rPr>
              <w:fldChar w:fldCharType="begin"/>
            </w:r>
            <w:r>
              <w:rPr>
                <w:webHidden/>
              </w:rPr>
              <w:instrText>PAGEREF _Toc56526512 \h</w:instrText>
            </w:r>
            <w:r>
              <w:rPr>
                <w:webHidden/>
              </w:rPr>
              <w:fldChar w:fldCharType="separate"/>
            </w:r>
            <w:r>
              <w:rPr>
                <w:rStyle w:val="IndexLink"/>
              </w:rPr>
              <w:t>Contexte et objectifs</w:t>
            </w:r>
            <w:r>
              <w:rPr>
                <w:webHidden/>
              </w:rPr>
              <w:fldChar w:fldCharType="end"/>
            </w:r>
          </w:hyperlink>
          <w:hyperlink w:anchor="_Toc56526512">
            <w:r>
              <w:rPr>
                <w:webHidden/>
              </w:rPr>
              <w:fldChar w:fldCharType="begin"/>
            </w:r>
            <w:r>
              <w:rPr>
                <w:webHidden/>
              </w:rPr>
              <w:instrText>PAGEREF _Toc56526512 \h</w:instrText>
            </w:r>
            <w:r>
              <w:rPr>
                <w:webHidden/>
              </w:rPr>
              <w:fldChar w:fldCharType="separate"/>
            </w:r>
            <w:r>
              <w:rPr>
                <w:rStyle w:val="IndexLink"/>
              </w:rPr>
              <w:tab/>
              <w:t>33</w:t>
            </w:r>
            <w:r>
              <w:rPr>
                <w:webHidden/>
              </w:rPr>
              <w:fldChar w:fldCharType="end"/>
            </w:r>
          </w:hyperlink>
          <w:r>
            <w:rPr>
              <w:rStyle w:val="IndexLink"/>
            </w:rPr>
            <w:fldChar w:fldCharType="end"/>
          </w:r>
        </w:p>
      </w:sdtContent>
    </w:sdt>
    <w:p>
      <w:pPr>
        <w:pStyle w:val="Normal"/>
        <w:rPr>
          <w:rFonts w:ascii="Calibri" w:hAnsi="Calibri" w:eastAsia="Calibri" w:cs="Calibri"/>
          <w:b/>
          <w:b/>
          <w:sz w:val="24"/>
          <w:szCs w:val="24"/>
        </w:rPr>
      </w:pPr>
      <w:r>
        <w:rPr>
          <w:rFonts w:eastAsia="Calibri" w:cs="Calibri" w:ascii="Calibri" w:hAnsi="Calibri"/>
          <w:b/>
          <w:sz w:val="24"/>
          <w:szCs w:val="24"/>
        </w:rPr>
      </w:r>
      <w:r>
        <w:br w:type="page"/>
      </w:r>
    </w:p>
    <w:p>
      <w:pPr>
        <w:pStyle w:val="Heading1"/>
        <w:numPr>
          <w:ilvl w:val="0"/>
          <w:numId w:val="3"/>
        </w:numPr>
        <w:rPr/>
      </w:pPr>
      <w:bookmarkStart w:id="0" w:name="_Toc56526503"/>
      <w:r>
        <w:rPr/>
        <w:t>Campagne CalNaGeo-Gironde 2018</w:t>
      </w:r>
      <w:bookmarkEnd w:id="0"/>
    </w:p>
    <w:p>
      <w:pPr>
        <w:pStyle w:val="Normal"/>
        <w:rPr>
          <w:rFonts w:ascii="Calibri" w:hAnsi="Calibri" w:eastAsia="Calibri" w:cs="Calibri"/>
          <w:b/>
          <w:b/>
          <w:sz w:val="24"/>
          <w:szCs w:val="24"/>
        </w:rPr>
      </w:pPr>
      <w:r>
        <w:rPr>
          <w:rFonts w:eastAsia="Calibri" w:cs="Calibri" w:ascii="Calibri" w:hAnsi="Calibri"/>
          <w:b/>
          <w:sz w:val="24"/>
          <w:szCs w:val="24"/>
        </w:rPr>
      </w:r>
    </w:p>
    <w:p>
      <w:pPr>
        <w:pStyle w:val="Normal"/>
        <w:rPr>
          <w:rFonts w:ascii="Calibri" w:hAnsi="Calibri" w:eastAsia="Calibri" w:cs="Calibri"/>
          <w:b/>
          <w:b/>
          <w:sz w:val="24"/>
          <w:szCs w:val="24"/>
        </w:rPr>
      </w:pPr>
      <w:r>
        <w:rPr>
          <w:rFonts w:eastAsia="Calibri" w:cs="Calibri" w:ascii="Calibri" w:hAnsi="Calibri"/>
          <w:b/>
          <w:sz w:val="24"/>
          <w:szCs w:val="24"/>
        </w:rPr>
      </w:r>
      <w:r>
        <w:br w:type="page"/>
      </w:r>
    </w:p>
    <w:p>
      <w:pPr>
        <w:pStyle w:val="Heading1"/>
        <w:numPr>
          <w:ilvl w:val="0"/>
          <w:numId w:val="3"/>
        </w:numPr>
        <w:rPr/>
      </w:pPr>
      <w:bookmarkStart w:id="1" w:name="_Toc56526504"/>
      <w:r>
        <w:rPr/>
        <w:t>Etude numérique de l’estuaire amont</w:t>
      </w:r>
      <w:bookmarkEnd w:id="1"/>
    </w:p>
    <w:p>
      <w:pPr>
        <w:pStyle w:val="Normal"/>
        <w:rPr>
          <w:rFonts w:ascii="Calibri" w:hAnsi="Calibri" w:eastAsia="Calibri" w:cs="Calibri"/>
          <w:b/>
          <w:b/>
          <w:sz w:val="24"/>
          <w:szCs w:val="24"/>
        </w:rPr>
      </w:pPr>
      <w:r>
        <w:rPr>
          <w:rFonts w:eastAsia="Calibri" w:cs="Calibri" w:ascii="Calibri" w:hAnsi="Calibri"/>
          <w:b/>
          <w:sz w:val="24"/>
          <w:szCs w:val="24"/>
        </w:rPr>
      </w:r>
    </w:p>
    <w:p>
      <w:pPr>
        <w:pStyle w:val="Heading2"/>
        <w:numPr>
          <w:ilvl w:val="1"/>
          <w:numId w:val="3"/>
        </w:numPr>
        <w:rPr/>
      </w:pPr>
      <w:bookmarkStart w:id="2" w:name="_Toc56526505"/>
      <w:r>
        <w:rPr/>
        <w:t>Contexte et objectifs</w:t>
      </w:r>
      <w:bookmarkEnd w:id="2"/>
    </w:p>
    <w:p>
      <w:pPr>
        <w:pStyle w:val="Normal"/>
        <w:rPr/>
      </w:pPr>
      <w:r>
        <w:rPr/>
      </w:r>
    </w:p>
    <w:p>
      <w:pPr>
        <w:pStyle w:val="Normal"/>
        <w:jc w:val="both"/>
        <w:rPr>
          <w:rFonts w:ascii="Calibri" w:hAnsi="Calibri" w:eastAsia="Calibri" w:cs="Calibri"/>
        </w:rPr>
      </w:pPr>
      <w:r>
        <w:rPr>
          <w:rFonts w:eastAsia="Calibri" w:cs="Calibri" w:ascii="Calibri" w:hAnsi="Calibri"/>
        </w:rPr>
        <w:t>Dans cette partie se trouve l’ensemble des résultats liés aux activités de simulation des débits et de la hauteur d’eau dans l’estuaire de la Gironde, à la fois en terme de sensibilité en se basant sur des simulations académiques, et de réalisme et précision de la configuration numérique en se basant sur des simulations correspondant à des périodes sur lesquelles nous disposons d’observations, essentiellement marégraphiques.</w:t>
      </w:r>
    </w:p>
    <w:p>
      <w:pPr>
        <w:pStyle w:val="Normal"/>
        <w:jc w:val="both"/>
        <w:rPr>
          <w:rFonts w:ascii="Calibri" w:hAnsi="Calibri" w:eastAsia="Calibri" w:cs="Calibri"/>
        </w:rPr>
      </w:pPr>
      <w:r>
        <w:rPr>
          <w:rFonts w:eastAsia="Calibri" w:cs="Calibri" w:ascii="Calibri" w:hAnsi="Calibri"/>
        </w:rPr>
      </w:r>
    </w:p>
    <w:p>
      <w:pPr>
        <w:pStyle w:val="Normal"/>
        <w:jc w:val="both"/>
        <w:rPr/>
      </w:pPr>
      <w:r>
        <w:rPr>
          <w:rFonts w:eastAsia="Calibri" w:cs="Calibri" w:ascii="Calibri" w:hAnsi="Calibri"/>
        </w:rPr>
        <w:t>Les simulations sont basées sur la configuration Gironde initialement calibrée avec la version spectrale de T-UGOm (SP),   validée sur une simulation time-stepping (TS) et  wetting-drying (WD) en 2017. La grille non structurée,  la bathymétrie associée et les forçages ont déjà été présentés dans la section X.  La configuration est subdivisée en différentes sections allant de la façade de l’Atlantique à Pessac sur la Dordogne et La Réole sur la Garonne (</w:t>
      </w:r>
      <w:r>
        <w:rPr>
          <w:rFonts w:eastAsia="Calibri" w:cs="Calibri" w:ascii="Calibri" w:hAnsi="Calibri"/>
        </w:rPr>
        <w:fldChar w:fldCharType="begin"/>
      </w:r>
      <w:r>
        <w:rPr>
          <w:rFonts w:eastAsia="Calibri" w:cs="Calibri" w:ascii="Calibri" w:hAnsi="Calibri"/>
        </w:rPr>
        <w:instrText> REF Ref_Figure0_label_and_number \h </w:instrText>
      </w:r>
      <w:r>
        <w:rPr>
          <w:rFonts w:eastAsia="Calibri" w:cs="Calibri" w:ascii="Calibri" w:hAnsi="Calibri"/>
        </w:rPr>
        <w:fldChar w:fldCharType="separate"/>
      </w:r>
      <w:r>
        <w:rPr>
          <w:rFonts w:eastAsia="Calibri" w:cs="Calibri" w:ascii="Calibri" w:hAnsi="Calibri"/>
        </w:rPr>
        <w:t>Figure 1</w:t>
      </w:r>
      <w:r>
        <w:rPr>
          <w:rFonts w:eastAsia="Calibri" w:cs="Calibri" w:ascii="Calibri" w:hAnsi="Calibri"/>
        </w:rPr>
        <w:fldChar w:fldCharType="end"/>
      </w:r>
      <w:r>
        <w:rPr>
          <w:rFonts w:eastAsia="Calibri" w:cs="Calibri" w:ascii="Calibri" w:hAnsi="Calibri"/>
        </w:rPr>
        <w:t>).  Ces dernières stations constituent les conditions aux limites fluviales, où on impose l’élévation du fleuve et non son débit, et où on a supposé que la marée n’était plus sensible. Ce point sera discuté ultérieurement. L’emplacement des sections sert à la fois à fixer des paramètres du modèle (comme la rugosité) et a été positionné pour définir des portions de domaine encadrées par le réseau de marégraphes disponible (distribué par le Grand Port Maritime de Bordeaux, GPMBX, et la DREAL).</w:t>
      </w:r>
    </w:p>
    <w:p>
      <w:pPr>
        <w:pStyle w:val="Normal"/>
        <w:rPr/>
      </w:pPr>
      <w:r>
        <w:rPr/>
      </w:r>
    </w:p>
    <w:p>
      <w:pPr>
        <w:pStyle w:val="Normal"/>
        <w:jc w:val="center"/>
        <w:rPr/>
      </w:pPr>
      <w:r>
        <w:rPr/>
        <w:drawing>
          <wp:inline distT="0" distB="0" distL="0" distR="0">
            <wp:extent cx="5041265" cy="4639945"/>
            <wp:effectExtent l="0" t="0" r="0" b="0"/>
            <wp:docPr id="1" name="image1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3.png" descr=""/>
                    <pic:cNvPicPr>
                      <a:picLocks noChangeAspect="1" noChangeArrowheads="1"/>
                    </pic:cNvPicPr>
                  </pic:nvPicPr>
                  <pic:blipFill>
                    <a:blip r:embed="rId3"/>
                    <a:srcRect l="0" t="2528" r="0" b="0"/>
                    <a:stretch>
                      <a:fillRect/>
                    </a:stretch>
                  </pic:blipFill>
                  <pic:spPr bwMode="auto">
                    <a:xfrm>
                      <a:off x="0" y="0"/>
                      <a:ext cx="5041265" cy="4639945"/>
                    </a:xfrm>
                    <a:prstGeom prst="rect">
                      <a:avLst/>
                    </a:prstGeom>
                  </pic:spPr>
                </pic:pic>
              </a:graphicData>
            </a:graphic>
          </wp:inline>
        </w:drawing>
      </w:r>
    </w:p>
    <w:p>
      <w:pPr>
        <w:pStyle w:val="Normal"/>
        <w:jc w:val="center"/>
        <w:rPr/>
      </w:pPr>
      <w:r>
        <w:rPr/>
        <w:drawing>
          <wp:inline distT="0" distB="0" distL="0" distR="0">
            <wp:extent cx="5414010" cy="3615055"/>
            <wp:effectExtent l="0" t="0" r="0" b="0"/>
            <wp:docPr id="2"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descr=""/>
                    <pic:cNvPicPr>
                      <a:picLocks noChangeAspect="1" noChangeArrowheads="1"/>
                    </pic:cNvPicPr>
                  </pic:nvPicPr>
                  <pic:blipFill>
                    <a:blip r:embed="rId4"/>
                    <a:srcRect l="0" t="2908" r="0" b="0"/>
                    <a:stretch>
                      <a:fillRect/>
                    </a:stretch>
                  </pic:blipFill>
                  <pic:spPr bwMode="auto">
                    <a:xfrm>
                      <a:off x="0" y="0"/>
                      <a:ext cx="5414010" cy="3615055"/>
                    </a:xfrm>
                    <a:prstGeom prst="rect">
                      <a:avLst/>
                    </a:prstGeom>
                  </pic:spPr>
                </pic:pic>
              </a:graphicData>
            </a:graphic>
          </wp:inline>
        </w:drawing>
      </w:r>
    </w:p>
    <w:p>
      <w:pPr>
        <w:pStyle w:val="Normal"/>
        <w:jc w:val="center"/>
        <w:rPr/>
      </w:pPr>
      <w:bookmarkStart w:id="3" w:name="Ref_Figure0_label_and_number"/>
      <w:r>
        <w:rPr>
          <w:rFonts w:ascii="Calibri" w:hAnsi="Calibri"/>
          <w:sz w:val="20"/>
          <w:szCs w:val="20"/>
        </w:rPr>
        <w:t xml:space="preserve">Figure </w:t>
      </w:r>
      <w:bookmarkStart w:id="4" w:name="Ref_Figure0_number_only"/>
      <w:r>
        <w:rPr>
          <w:rFonts w:ascii="Calibri" w:hAnsi="Calibri"/>
          <w:sz w:val="20"/>
          <w:szCs w:val="20"/>
        </w:rPr>
        <w:fldChar w:fldCharType="begin"/>
      </w:r>
      <w:r>
        <w:rPr>
          <w:sz w:val="20"/>
          <w:szCs w:val="20"/>
          <w:rFonts w:ascii="Calibri" w:hAnsi="Calibri"/>
        </w:rPr>
        <w:instrText> SEQ Figure \* ARABIC </w:instrText>
      </w:r>
      <w:r>
        <w:rPr>
          <w:sz w:val="20"/>
          <w:szCs w:val="20"/>
          <w:rFonts w:ascii="Calibri" w:hAnsi="Calibri"/>
        </w:rPr>
        <w:fldChar w:fldCharType="separate"/>
      </w:r>
      <w:r>
        <w:rPr>
          <w:sz w:val="20"/>
          <w:szCs w:val="20"/>
          <w:rFonts w:ascii="Calibri" w:hAnsi="Calibri"/>
        </w:rPr>
        <w:t>1</w:t>
      </w:r>
      <w:r>
        <w:rPr>
          <w:sz w:val="20"/>
          <w:szCs w:val="20"/>
          <w:rFonts w:ascii="Calibri" w:hAnsi="Calibri"/>
        </w:rPr>
        <w:fldChar w:fldCharType="end"/>
      </w:r>
      <w:bookmarkEnd w:id="3"/>
      <w:bookmarkEnd w:id="4"/>
      <w:r>
        <w:rPr>
          <w:rFonts w:ascii="Calibri" w:hAnsi="Calibri"/>
          <w:sz w:val="20"/>
          <w:szCs w:val="20"/>
        </w:rPr>
        <w:t> :</w:t>
      </w:r>
      <w:r>
        <w:rPr>
          <w:rFonts w:eastAsia="Calibri" w:cs="Calibri" w:ascii="Calibri" w:hAnsi="Calibri"/>
          <w:sz w:val="20"/>
          <w:szCs w:val="20"/>
        </w:rPr>
        <w:t xml:space="preserve">  Emplacement des extractions des sorties séquentielles et zones de longueurs de rugosité pour les configurations Gironde. Les noms des sections sont indiquées aux tableaux 2, 3 et 4.  </w:t>
      </w:r>
      <w:r>
        <w:rPr>
          <w:rFonts w:eastAsia="Calibri" w:cs="Calibri" w:ascii="Calibri" w:hAnsi="Calibri"/>
          <w:color w:val="C00000"/>
          <w:sz w:val="20"/>
          <w:szCs w:val="20"/>
        </w:rPr>
        <w:t>(carte à actualiser)</w:t>
      </w:r>
    </w:p>
    <w:p>
      <w:pPr>
        <w:pStyle w:val="Normal"/>
        <w:rPr/>
      </w:pPr>
      <w:r>
        <w:rPr/>
      </w:r>
    </w:p>
    <w:p>
      <w:pPr>
        <w:pStyle w:val="Normal"/>
        <w:rPr/>
      </w:pPr>
      <w:r>
        <w:rPr/>
        <w:t xml:space="preserve">   </w:t>
      </w:r>
      <w:r>
        <w:rPr>
          <w:rFonts w:eastAsia="Calibri" w:cs="Calibri" w:ascii="Calibri" w:hAnsi="Calibri"/>
        </w:rPr>
        <w:t xml:space="preserve"> </w:t>
      </w:r>
      <w:r>
        <w:rPr>
          <w:rFonts w:eastAsia="Calibri" w:cs="Calibri" w:ascii="Calibri" w:hAnsi="Calibri"/>
        </w:rPr>
        <w:t xml:space="preserve">Le modèle forçant sur la façade Atlantique est NEA-2019 ( North East Atlantic), ce dernier améliore le réalisme des simulations (voir la section X).  Le modèle est plus forcé à ses limites par les élévations observées de la  Dordogne à  Pessac-sur-Dordogne et de la Garonne à La Réole. A ces deux stations hydrologiques, l’influence de la  marée sur la hauteur fluviale est très réduite. Le forçage atmosphérique est prescrit via les formules Bulk, le vent à 10m et la pression atmosphérique à 1h nécessaires sont issus de la réanalyse ERA 5.  A partir de cette configuration, nous avons conduit des simulations dites ‘’académiques” et des simulations dites ‘’réalistes’’.  </w:t>
      </w:r>
    </w:p>
    <w:p>
      <w:pPr>
        <w:pStyle w:val="Normal"/>
        <w:rPr>
          <w:rFonts w:ascii="Calibri" w:hAnsi="Calibri" w:eastAsia="Calibri" w:cs="Calibri"/>
        </w:rPr>
      </w:pPr>
      <w:r>
        <w:rPr>
          <w:rFonts w:eastAsia="Calibri" w:cs="Calibri" w:ascii="Calibri" w:hAnsi="Calibri"/>
        </w:rPr>
      </w:r>
    </w:p>
    <w:p>
      <w:pPr>
        <w:pStyle w:val="Normal"/>
        <w:rPr>
          <w:rFonts w:ascii="Calibri" w:hAnsi="Calibri" w:eastAsia="Calibri" w:cs="Calibri"/>
        </w:rPr>
      </w:pPr>
      <w:r>
        <w:rPr>
          <w:rFonts w:eastAsia="Calibri" w:cs="Calibri" w:ascii="Calibri" w:hAnsi="Calibri"/>
        </w:rPr>
      </w:r>
    </w:p>
    <w:p>
      <w:pPr>
        <w:pStyle w:val="Normal"/>
        <w:rPr>
          <w:rFonts w:ascii="Calibri" w:hAnsi="Calibri" w:eastAsia="Calibri" w:cs="Calibri"/>
          <w:color w:val="C00000"/>
        </w:rPr>
      </w:pPr>
      <w:r>
        <w:rPr>
          <w:rFonts w:eastAsia="Calibri" w:cs="Calibri" w:ascii="Calibri" w:hAnsi="Calibri"/>
          <w:color w:val="C00000"/>
        </w:rPr>
        <w:t>(developper la partie NEA pour décrire la marée et la surcote)</w:t>
      </w:r>
    </w:p>
    <w:p>
      <w:pPr>
        <w:pStyle w:val="Normal"/>
        <w:rPr>
          <w:rFonts w:ascii="Calibri" w:hAnsi="Calibri" w:eastAsia="Calibri" w:cs="Calibri"/>
        </w:rPr>
      </w:pPr>
      <w:r>
        <w:rPr>
          <w:rFonts w:eastAsia="Calibri" w:cs="Calibri" w:ascii="Calibri" w:hAnsi="Calibri"/>
        </w:rPr>
      </w:r>
    </w:p>
    <w:p>
      <w:pPr>
        <w:pStyle w:val="Normal"/>
        <w:rPr>
          <w:rFonts w:ascii="Calibri" w:hAnsi="Calibri" w:eastAsia="Calibri" w:cs="Calibri"/>
        </w:rPr>
      </w:pPr>
      <w:r>
        <w:rPr>
          <w:rFonts w:eastAsia="Calibri" w:cs="Calibri" w:ascii="Calibri" w:hAnsi="Calibri"/>
        </w:rPr>
      </w:r>
    </w:p>
    <w:p>
      <w:pPr>
        <w:pStyle w:val="Heading2"/>
        <w:numPr>
          <w:ilvl w:val="1"/>
          <w:numId w:val="3"/>
        </w:numPr>
        <w:rPr/>
      </w:pPr>
      <w:bookmarkStart w:id="5" w:name="_Toc56526506"/>
      <w:r>
        <w:rPr/>
        <w:t>Etudes de sensibilité (simulation académique)</w:t>
      </w:r>
      <w:bookmarkEnd w:id="5"/>
    </w:p>
    <w:p>
      <w:pPr>
        <w:pStyle w:val="Normal"/>
        <w:rPr/>
      </w:pPr>
      <w:r>
        <w:rPr/>
      </w:r>
    </w:p>
    <w:p>
      <w:pPr>
        <w:pStyle w:val="Normal"/>
        <w:jc w:val="both"/>
        <w:rPr/>
      </w:pPr>
      <w:r>
        <w:rPr>
          <w:rFonts w:eastAsia="Calibri" w:cs="Calibri" w:ascii="Calibri" w:hAnsi="Calibri"/>
        </w:rPr>
        <w:t xml:space="preserve">La marée et l’écoulement fluvial interagissent dans l’estuaire, et ces interactions sont modulées par l’importance du débit de la Garonne et/ou de la Dordogne. Les effets dynamiques de cette interaction se concentrent principalement dans la partie amont de l’estuaire, où le courant dû à l’écoulement fluvial devient comparable à celui généré par la marée et où les variations de hauteur de la surface fluviale sous l’effet des variations de débit dépasse significativement 10 centimètres (et pouvant bien sûr atteindre plusieurs mètres dans les parties les plus amont en cas de crue ou d’étiage sévères). </w:t>
      </w:r>
    </w:p>
    <w:p>
      <w:pPr>
        <w:pStyle w:val="Normal"/>
        <w:jc w:val="both"/>
        <w:rPr>
          <w:rFonts w:ascii="Calibri" w:hAnsi="Calibri" w:eastAsia="Calibri" w:cs="Calibri"/>
        </w:rPr>
      </w:pPr>
      <w:r>
        <w:rPr>
          <w:rFonts w:eastAsia="Calibri" w:cs="Calibri" w:ascii="Calibri" w:hAnsi="Calibri"/>
        </w:rPr>
      </w:r>
    </w:p>
    <w:p>
      <w:pPr>
        <w:pStyle w:val="Normal"/>
        <w:jc w:val="both"/>
        <w:rPr>
          <w:rFonts w:ascii="Calibri" w:hAnsi="Calibri" w:eastAsia="Calibri" w:cs="Calibri"/>
        </w:rPr>
      </w:pPr>
      <w:r>
        <w:rPr>
          <w:rFonts w:eastAsia="Calibri" w:cs="Calibri" w:ascii="Calibri" w:hAnsi="Calibri"/>
        </w:rPr>
        <w:t>L’étude quantitative de ces interactions dans un mode réaliste (c’est-à-dire en condition réelle de débit et de marée) est singulièrement complexifiée par les échelles de temps relativement courtes de variations de ces paramètres. Nous avons donc fait le choix de les étudier dans un premier au travers de simulations académiques dans lesquelles on limite à dessein la variabilité intrinsèque du système estuarien. Ces études académiques ont été conçues afin de comprendre la réponse des branches de la Dordogne et de la Garonne (en amont avant la confluence au Bec d’Ambes) par rapport aux différents régimes de débit à Pessac et La Réole. Pour des raisons d’efficacité, seule la section Garonne a fait l’objet d’investigation, et les résultats sont analysés sur les sections du modèle allant de Bordeaux, Cadillac et Langon jusqu’à La Réole.</w:t>
      </w:r>
    </w:p>
    <w:p>
      <w:pPr>
        <w:pStyle w:val="Normal"/>
        <w:jc w:val="both"/>
        <w:rPr>
          <w:rFonts w:ascii="Calibri" w:hAnsi="Calibri" w:eastAsia="Calibri" w:cs="Calibri"/>
        </w:rPr>
      </w:pPr>
      <w:r>
        <w:rPr>
          <w:rFonts w:eastAsia="Calibri" w:cs="Calibri" w:ascii="Calibri" w:hAnsi="Calibri"/>
        </w:rPr>
      </w:r>
    </w:p>
    <w:p>
      <w:pPr>
        <w:pStyle w:val="Normal"/>
        <w:jc w:val="both"/>
        <w:rPr>
          <w:rFonts w:ascii="Calibri" w:hAnsi="Calibri" w:eastAsia="Calibri" w:cs="Calibri"/>
        </w:rPr>
      </w:pPr>
      <w:r>
        <w:rPr>
          <w:rFonts w:eastAsia="Calibri" w:cs="Calibri" w:ascii="Calibri" w:hAnsi="Calibri"/>
        </w:rPr>
        <w:t>Dans ces simulations académiques, seule la composante M2 de la marée est utilisée pour forcer le modèle à sa frontière ouverte côtière, afin en particulier d’éviter de reproduire les cycles de mortes eaux/vives eaux. L’élévation fluviale prescrite à La Réole est maintenue constante sur la durée des simulations, et l’échantillonnage des élévations, courants et débit  à l’issue d’une période d’ajustement de 10 jours ;</w:t>
      </w:r>
    </w:p>
    <w:p>
      <w:pPr>
        <w:pStyle w:val="Normal"/>
        <w:rPr>
          <w:rFonts w:ascii="Calibri" w:hAnsi="Calibri" w:eastAsia="Calibri" w:cs="Calibri"/>
        </w:rPr>
      </w:pPr>
      <w:r>
        <w:rPr>
          <w:rFonts w:eastAsia="Calibri" w:cs="Calibri" w:ascii="Calibri" w:hAnsi="Calibri"/>
        </w:rPr>
      </w:r>
    </w:p>
    <w:p>
      <w:pPr>
        <w:pStyle w:val="Normal"/>
        <w:jc w:val="both"/>
        <w:rPr/>
      </w:pPr>
      <w:r>
        <w:rPr>
          <w:rFonts w:eastAsia="Calibri" w:cs="Calibri" w:ascii="Calibri" w:hAnsi="Calibri"/>
        </w:rPr>
        <w:t xml:space="preserve">   </w:t>
      </w:r>
      <w:r>
        <w:rPr>
          <w:rFonts w:eastAsia="Calibri" w:cs="Calibri" w:ascii="Calibri" w:hAnsi="Calibri"/>
        </w:rPr>
        <w:t>Les observations à Pessac et La Réole sont présentées ci-dessous pour l’année 2018.  En période de crue le niveau d’eau peut atteindre 14 m à La Réole (</w:t>
      </w:r>
      <w:r>
        <w:rPr>
          <w:rFonts w:eastAsia="Calibri" w:cs="Calibri" w:ascii="Calibri" w:hAnsi="Calibri"/>
        </w:rPr>
        <w:fldChar w:fldCharType="begin"/>
      </w:r>
      <w:r>
        <w:rPr>
          <w:rFonts w:eastAsia="Calibri" w:cs="Calibri" w:ascii="Calibri" w:hAnsi="Calibri"/>
        </w:rPr>
        <w:instrText> REF Ref_Figure1_label_and_number \h </w:instrText>
      </w:r>
      <w:r>
        <w:rPr>
          <w:rFonts w:eastAsia="Calibri" w:cs="Calibri" w:ascii="Calibri" w:hAnsi="Calibri"/>
        </w:rPr>
        <w:fldChar w:fldCharType="separate"/>
      </w:r>
      <w:r>
        <w:rPr>
          <w:rFonts w:eastAsia="Calibri" w:cs="Calibri" w:ascii="Calibri" w:hAnsi="Calibri"/>
        </w:rPr>
        <w:t>Figure 2</w:t>
      </w:r>
      <w:r>
        <w:rPr>
          <w:rFonts w:eastAsia="Calibri" w:cs="Calibri" w:ascii="Calibri" w:hAnsi="Calibri"/>
        </w:rPr>
        <w:fldChar w:fldCharType="end"/>
      </w:r>
      <w:r>
        <w:rPr>
          <w:rFonts w:eastAsia="Calibri" w:cs="Calibri" w:ascii="Calibri" w:hAnsi="Calibri"/>
        </w:rPr>
        <w:t>) et 10 m à Pessac (</w:t>
      </w:r>
      <w:r>
        <w:rPr>
          <w:rFonts w:eastAsia="Calibri" w:cs="Calibri" w:ascii="Calibri" w:hAnsi="Calibri"/>
        </w:rPr>
        <w:fldChar w:fldCharType="begin"/>
      </w:r>
      <w:r>
        <w:rPr>
          <w:rFonts w:eastAsia="Calibri" w:cs="Calibri" w:ascii="Calibri" w:hAnsi="Calibri"/>
        </w:rPr>
        <w:instrText> REF Ref_Figure2_label_and_number \h </w:instrText>
      </w:r>
      <w:r>
        <w:rPr>
          <w:rFonts w:eastAsia="Calibri" w:cs="Calibri" w:ascii="Calibri" w:hAnsi="Calibri"/>
        </w:rPr>
        <w:fldChar w:fldCharType="separate"/>
      </w:r>
      <w:r>
        <w:rPr>
          <w:rFonts w:eastAsia="Calibri" w:cs="Calibri" w:ascii="Calibri" w:hAnsi="Calibri"/>
        </w:rPr>
        <w:t>Figure 3</w:t>
      </w:r>
      <w:r>
        <w:rPr>
          <w:rFonts w:eastAsia="Calibri" w:cs="Calibri" w:ascii="Calibri" w:hAnsi="Calibri"/>
        </w:rPr>
        <w:fldChar w:fldCharType="end"/>
      </w:r>
      <w:r>
        <w:rPr>
          <w:rFonts w:eastAsia="Calibri" w:cs="Calibri" w:ascii="Calibri" w:hAnsi="Calibri"/>
        </w:rPr>
        <w:t xml:space="preserve">), en étiage les valeurs minimales sont respectivement de 4.5  et 3.5 m respectivement. Le niveau d’eau moyen pour l’année 2018 se situe autour de 7 m à La Réole et 4 m à Pessac. Il est question dans nos expériences de sélectionner des valeurs de hauteurs d’eaux sur les courbes des figures </w:t>
      </w:r>
      <w:r>
        <w:rPr>
          <w:rFonts w:eastAsia="Calibri" w:cs="Calibri" w:ascii="Calibri" w:hAnsi="Calibri"/>
        </w:rPr>
        <w:fldChar w:fldCharType="begin"/>
      </w:r>
      <w:r>
        <w:rPr>
          <w:rFonts w:eastAsia="Calibri" w:cs="Calibri" w:ascii="Calibri" w:hAnsi="Calibri"/>
        </w:rPr>
        <w:instrText> REF Ref_Figure1_number_only \h </w:instrText>
      </w:r>
      <w:r>
        <w:rPr>
          <w:rFonts w:eastAsia="Calibri" w:cs="Calibri" w:ascii="Calibri" w:hAnsi="Calibri"/>
        </w:rPr>
        <w:fldChar w:fldCharType="separate"/>
      </w:r>
      <w:r>
        <w:rPr>
          <w:rFonts w:eastAsia="Calibri" w:cs="Calibri" w:ascii="Calibri" w:hAnsi="Calibri"/>
        </w:rPr>
        <w:t>2</w:t>
      </w:r>
      <w:r>
        <w:rPr>
          <w:rFonts w:eastAsia="Calibri" w:cs="Calibri" w:ascii="Calibri" w:hAnsi="Calibri"/>
        </w:rPr>
        <w:fldChar w:fldCharType="end"/>
      </w:r>
      <w:r>
        <w:rPr>
          <w:rFonts w:eastAsia="Calibri" w:cs="Calibri" w:ascii="Calibri" w:hAnsi="Calibri"/>
        </w:rPr>
        <w:t xml:space="preserve"> et </w:t>
      </w:r>
      <w:r>
        <w:rPr>
          <w:rFonts w:eastAsia="Calibri" w:cs="Calibri" w:ascii="Calibri" w:hAnsi="Calibri"/>
        </w:rPr>
        <w:fldChar w:fldCharType="begin"/>
      </w:r>
      <w:r>
        <w:rPr>
          <w:rFonts w:eastAsia="Calibri" w:cs="Calibri" w:ascii="Calibri" w:hAnsi="Calibri"/>
        </w:rPr>
        <w:instrText> REF Ref_Figure2_number_only \h </w:instrText>
      </w:r>
      <w:r>
        <w:rPr>
          <w:rFonts w:eastAsia="Calibri" w:cs="Calibri" w:ascii="Calibri" w:hAnsi="Calibri"/>
        </w:rPr>
        <w:fldChar w:fldCharType="separate"/>
      </w:r>
      <w:r>
        <w:rPr>
          <w:rFonts w:eastAsia="Calibri" w:cs="Calibri" w:ascii="Calibri" w:hAnsi="Calibri"/>
        </w:rPr>
        <w:t>3</w:t>
      </w:r>
      <w:r>
        <w:rPr>
          <w:rFonts w:eastAsia="Calibri" w:cs="Calibri" w:ascii="Calibri" w:hAnsi="Calibri"/>
        </w:rPr>
        <w:fldChar w:fldCharType="end"/>
      </w:r>
      <w:r>
        <w:rPr>
          <w:rFonts w:eastAsia="Calibri" w:cs="Calibri" w:ascii="Calibri" w:hAnsi="Calibri"/>
        </w:rPr>
        <w:t xml:space="preserve"> et de les prescrire au modèle. Six tests ont été faits, les trois premiers avec respectivement les élévations maximale (en période de crue), minimale (en période d’étiage) et moyenne. L’impact de l'élévation à Pessac s'étant révélés moins importants, les trois dernières expériences ont été conduites en y fixant l'élévation  égale à sa valeur moyenne et en choisissant des valeurs intermédiaires entre le maximum et le minimum à La Réole.  Le tableau 1 récapitule les valeurs d’élévations utilisées selon le cas.  </w:t>
      </w:r>
    </w:p>
    <w:p>
      <w:pPr>
        <w:pStyle w:val="Normal"/>
        <w:rPr/>
      </w:pPr>
      <w:r>
        <w:rPr/>
        <w:t xml:space="preserve">    </w:t>
      </w:r>
    </w:p>
    <w:p>
      <w:pPr>
        <w:pStyle w:val="Normal"/>
        <w:rPr/>
      </w:pPr>
      <w:r>
        <w:rPr/>
      </w:r>
    </w:p>
    <w:p>
      <w:pPr>
        <w:pStyle w:val="Normal"/>
        <w:rPr/>
      </w:pPr>
      <w:r>
        <w:rPr/>
      </w:r>
    </w:p>
    <w:p>
      <w:pPr>
        <w:pStyle w:val="Normal"/>
        <w:rPr/>
      </w:pPr>
      <w:r>
        <w:rPr/>
      </w:r>
    </w:p>
    <w:p>
      <w:pPr>
        <w:pStyle w:val="Normal"/>
        <w:rPr/>
      </w:pPr>
      <w:r>
        <w:rPr/>
        <w:drawing>
          <wp:inline distT="0" distB="0" distL="0" distR="0">
            <wp:extent cx="5731510" cy="2959100"/>
            <wp:effectExtent l="0" t="0" r="0" b="0"/>
            <wp:docPr id="3"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descr=""/>
                    <pic:cNvPicPr>
                      <a:picLocks noChangeAspect="1" noChangeArrowheads="1"/>
                    </pic:cNvPicPr>
                  </pic:nvPicPr>
                  <pic:blipFill>
                    <a:blip r:embed="rId5"/>
                    <a:srcRect l="28" t="0" r="23" b="0"/>
                    <a:stretch>
                      <a:fillRect/>
                    </a:stretch>
                  </pic:blipFill>
                  <pic:spPr bwMode="auto">
                    <a:xfrm>
                      <a:off x="0" y="0"/>
                      <a:ext cx="5731510" cy="2959100"/>
                    </a:xfrm>
                    <a:prstGeom prst="rect">
                      <a:avLst/>
                    </a:prstGeom>
                  </pic:spPr>
                </pic:pic>
              </a:graphicData>
            </a:graphic>
          </wp:inline>
        </w:drawing>
      </w:r>
    </w:p>
    <w:p>
      <w:pPr>
        <w:pStyle w:val="Normal"/>
        <w:jc w:val="center"/>
        <w:rPr/>
      </w:pPr>
      <w:bookmarkStart w:id="6" w:name="Ref_Figure1_label_and_number"/>
      <w:r>
        <w:rPr>
          <w:rFonts w:eastAsia="Calibri" w:cs="Calibri" w:ascii="Calibri" w:hAnsi="Calibri"/>
          <w:sz w:val="20"/>
          <w:szCs w:val="20"/>
        </w:rPr>
        <w:t xml:space="preserve">Figure </w:t>
      </w:r>
      <w:bookmarkStart w:id="7" w:name="Ref_Figure1_number_only"/>
      <w:r>
        <w:rPr>
          <w:rFonts w:eastAsia="Calibri" w:cs="Calibri" w:ascii="Calibri" w:hAnsi="Calibri"/>
          <w:sz w:val="20"/>
          <w:szCs w:val="20"/>
        </w:rPr>
        <w:fldChar w:fldCharType="begin"/>
      </w:r>
      <w:r>
        <w:rPr>
          <w:sz w:val="20"/>
          <w:szCs w:val="20"/>
          <w:rFonts w:eastAsia="Calibri" w:cs="Calibri" w:ascii="Calibri" w:hAnsi="Calibri"/>
        </w:rPr>
        <w:instrText> SEQ Figure \* ARABIC </w:instrText>
      </w:r>
      <w:r>
        <w:rPr>
          <w:sz w:val="20"/>
          <w:szCs w:val="20"/>
          <w:rFonts w:eastAsia="Calibri" w:cs="Calibri" w:ascii="Calibri" w:hAnsi="Calibri"/>
        </w:rPr>
        <w:fldChar w:fldCharType="separate"/>
      </w:r>
      <w:r>
        <w:rPr>
          <w:sz w:val="20"/>
          <w:szCs w:val="20"/>
          <w:rFonts w:eastAsia="Calibri" w:cs="Calibri" w:ascii="Calibri" w:hAnsi="Calibri"/>
        </w:rPr>
        <w:t>2</w:t>
      </w:r>
      <w:r>
        <w:rPr>
          <w:sz w:val="20"/>
          <w:szCs w:val="20"/>
          <w:rFonts w:eastAsia="Calibri" w:cs="Calibri" w:ascii="Calibri" w:hAnsi="Calibri"/>
        </w:rPr>
        <w:fldChar w:fldCharType="end"/>
      </w:r>
      <w:bookmarkEnd w:id="6"/>
      <w:bookmarkEnd w:id="7"/>
      <w:r>
        <w:rPr>
          <w:rFonts w:eastAsia="Calibri" w:cs="Calibri" w:ascii="Calibri" w:hAnsi="Calibri"/>
          <w:sz w:val="20"/>
          <w:szCs w:val="20"/>
        </w:rPr>
        <w:t> :  Courbe d’élévation (en mètres, référence IGN69) sur l’année 2018 à La-Réole (en noir). La moyenne et les valeurs d’élévations pour les différents cas sont également indiquées.</w:t>
      </w:r>
    </w:p>
    <w:p>
      <w:pPr>
        <w:pStyle w:val="Normal"/>
        <w:rPr>
          <w:sz w:val="18"/>
          <w:szCs w:val="18"/>
        </w:rPr>
      </w:pPr>
      <w:r>
        <w:rPr>
          <w:sz w:val="18"/>
          <w:szCs w:val="18"/>
        </w:rPr>
      </w:r>
    </w:p>
    <w:p>
      <w:pPr>
        <w:pStyle w:val="Normal"/>
        <w:rPr/>
      </w:pPr>
      <w:r>
        <w:rPr/>
        <w:drawing>
          <wp:inline distT="0" distB="0" distL="0" distR="0">
            <wp:extent cx="5731510" cy="2857500"/>
            <wp:effectExtent l="0" t="0" r="0" b="0"/>
            <wp:docPr id="4"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descr=""/>
                    <pic:cNvPicPr>
                      <a:picLocks noChangeAspect="1" noChangeArrowheads="1"/>
                    </pic:cNvPicPr>
                  </pic:nvPicPr>
                  <pic:blipFill>
                    <a:blip r:embed="rId6"/>
                    <a:srcRect l="28" t="0" r="23" b="0"/>
                    <a:stretch>
                      <a:fillRect/>
                    </a:stretch>
                  </pic:blipFill>
                  <pic:spPr bwMode="auto">
                    <a:xfrm>
                      <a:off x="0" y="0"/>
                      <a:ext cx="5731510" cy="2857500"/>
                    </a:xfrm>
                    <a:prstGeom prst="rect">
                      <a:avLst/>
                    </a:prstGeom>
                  </pic:spPr>
                </pic:pic>
              </a:graphicData>
            </a:graphic>
          </wp:inline>
        </w:drawing>
      </w:r>
    </w:p>
    <w:p>
      <w:pPr>
        <w:pStyle w:val="Normal"/>
        <w:jc w:val="center"/>
        <w:rPr/>
      </w:pPr>
      <w:bookmarkStart w:id="8" w:name="Ref_Figure2_label_and_number"/>
      <w:r>
        <w:rPr>
          <w:rFonts w:eastAsia="Calibri" w:cs="Calibri" w:ascii="Calibri" w:hAnsi="Calibri"/>
          <w:sz w:val="20"/>
          <w:szCs w:val="20"/>
        </w:rPr>
        <w:t xml:space="preserve">Figure </w:t>
      </w:r>
      <w:bookmarkStart w:id="9" w:name="Ref_Figure2_number_only"/>
      <w:r>
        <w:rPr>
          <w:rFonts w:eastAsia="Calibri" w:cs="Calibri" w:ascii="Calibri" w:hAnsi="Calibri"/>
          <w:sz w:val="20"/>
          <w:szCs w:val="20"/>
        </w:rPr>
        <w:fldChar w:fldCharType="begin"/>
      </w:r>
      <w:r>
        <w:rPr>
          <w:sz w:val="20"/>
          <w:szCs w:val="20"/>
          <w:rFonts w:eastAsia="Calibri" w:cs="Calibri" w:ascii="Calibri" w:hAnsi="Calibri"/>
        </w:rPr>
        <w:instrText> SEQ Figure \* ARABIC </w:instrText>
      </w:r>
      <w:r>
        <w:rPr>
          <w:sz w:val="20"/>
          <w:szCs w:val="20"/>
          <w:rFonts w:eastAsia="Calibri" w:cs="Calibri" w:ascii="Calibri" w:hAnsi="Calibri"/>
        </w:rPr>
        <w:fldChar w:fldCharType="separate"/>
      </w:r>
      <w:r>
        <w:rPr>
          <w:sz w:val="20"/>
          <w:szCs w:val="20"/>
          <w:rFonts w:eastAsia="Calibri" w:cs="Calibri" w:ascii="Calibri" w:hAnsi="Calibri"/>
        </w:rPr>
        <w:t>3</w:t>
      </w:r>
      <w:r>
        <w:rPr>
          <w:sz w:val="20"/>
          <w:szCs w:val="20"/>
          <w:rFonts w:eastAsia="Calibri" w:cs="Calibri" w:ascii="Calibri" w:hAnsi="Calibri"/>
        </w:rPr>
        <w:fldChar w:fldCharType="end"/>
      </w:r>
      <w:bookmarkEnd w:id="8"/>
      <w:bookmarkEnd w:id="9"/>
      <w:r>
        <w:rPr>
          <w:rFonts w:eastAsia="Calibri" w:cs="Calibri" w:ascii="Calibri" w:hAnsi="Calibri"/>
          <w:sz w:val="20"/>
          <w:szCs w:val="20"/>
        </w:rPr>
        <w:t> :  Courbe d’élévation (en mètres, référence IGN69) sur l’année 2018 à Pessac (en noir). La moyenne et les valeurs d’élévations pour les différents cas sont également indiquées.</w:t>
      </w:r>
    </w:p>
    <w:p>
      <w:pPr>
        <w:pStyle w:val="Normal"/>
        <w:rPr>
          <w:sz w:val="18"/>
          <w:szCs w:val="18"/>
        </w:rPr>
      </w:pPr>
      <w:r>
        <w:rPr>
          <w:sz w:val="18"/>
          <w:szCs w:val="18"/>
        </w:rPr>
      </w:r>
    </w:p>
    <w:p>
      <w:pPr>
        <w:pStyle w:val="Normal"/>
        <w:rPr>
          <w:sz w:val="18"/>
          <w:szCs w:val="18"/>
        </w:rPr>
      </w:pPr>
      <w:r>
        <w:rPr>
          <w:sz w:val="18"/>
          <w:szCs w:val="18"/>
        </w:rPr>
      </w:r>
    </w:p>
    <w:p>
      <w:pPr>
        <w:pStyle w:val="Normal"/>
        <w:rPr/>
      </w:pPr>
      <w:r>
        <w:rPr/>
      </w:r>
    </w:p>
    <w:tbl>
      <w:tblPr>
        <w:tblW w:w="9029" w:type="dxa"/>
        <w:jc w:val="left"/>
        <w:tblInd w:w="0" w:type="dxa"/>
        <w:tblCellMar>
          <w:top w:w="0" w:type="dxa"/>
          <w:left w:w="108" w:type="dxa"/>
          <w:bottom w:w="0" w:type="dxa"/>
          <w:right w:w="108" w:type="dxa"/>
        </w:tblCellMar>
        <w:tblLook w:val="0000" w:noHBand="0" w:noVBand="0" w:firstColumn="0" w:lastRow="0" w:lastColumn="0" w:firstRow="0"/>
      </w:tblPr>
      <w:tblGrid>
        <w:gridCol w:w="3009"/>
        <w:gridCol w:w="3010"/>
        <w:gridCol w:w="3010"/>
      </w:tblGrid>
      <w:tr>
        <w:trPr/>
        <w:tc>
          <w:tcPr>
            <w:tcW w:w="300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jc w:val="center"/>
              <w:rPr>
                <w:rFonts w:ascii="Calibri" w:hAnsi="Calibri" w:eastAsia="Calibri" w:cs="Calibri"/>
              </w:rPr>
            </w:pPr>
            <w:r>
              <w:rPr>
                <w:rFonts w:eastAsia="Calibri" w:cs="Calibri" w:ascii="Calibri" w:hAnsi="Calibri"/>
              </w:rPr>
            </w:r>
          </w:p>
        </w:tc>
        <w:tc>
          <w:tcPr>
            <w:tcW w:w="301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jc w:val="center"/>
              <w:rPr>
                <w:rFonts w:ascii="Calibri" w:hAnsi="Calibri" w:eastAsia="Calibri" w:cs="Calibri"/>
              </w:rPr>
            </w:pPr>
            <w:r>
              <w:rPr>
                <w:rFonts w:eastAsia="Calibri" w:cs="Calibri" w:ascii="Calibri" w:hAnsi="Calibri"/>
              </w:rPr>
              <w:t>Dordogne  (Pessac)</w:t>
            </w:r>
          </w:p>
        </w:tc>
        <w:tc>
          <w:tcPr>
            <w:tcW w:w="301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jc w:val="center"/>
              <w:rPr>
                <w:rFonts w:ascii="Calibri" w:hAnsi="Calibri" w:eastAsia="Calibri" w:cs="Calibri"/>
              </w:rPr>
            </w:pPr>
            <w:r>
              <w:rPr>
                <w:rFonts w:eastAsia="Calibri" w:cs="Calibri" w:ascii="Calibri" w:hAnsi="Calibri"/>
              </w:rPr>
              <w:t>Garonne (La-Réole)</w:t>
            </w:r>
          </w:p>
        </w:tc>
      </w:tr>
      <w:tr>
        <w:trPr/>
        <w:tc>
          <w:tcPr>
            <w:tcW w:w="300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jc w:val="center"/>
              <w:rPr>
                <w:rFonts w:ascii="Calibri" w:hAnsi="Calibri" w:eastAsia="Calibri" w:cs="Calibri"/>
              </w:rPr>
            </w:pPr>
            <w:r>
              <w:rPr>
                <w:rFonts w:eastAsia="Calibri" w:cs="Calibri" w:ascii="Calibri" w:hAnsi="Calibri"/>
              </w:rPr>
              <w:t>Cas 1 (maximum, crue)</w:t>
            </w:r>
          </w:p>
        </w:tc>
        <w:tc>
          <w:tcPr>
            <w:tcW w:w="301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jc w:val="center"/>
              <w:rPr>
                <w:rFonts w:ascii="Calibri" w:hAnsi="Calibri" w:eastAsia="Calibri" w:cs="Calibri"/>
              </w:rPr>
            </w:pPr>
            <w:r>
              <w:rPr>
                <w:rFonts w:eastAsia="Calibri" w:cs="Calibri" w:ascii="Calibri" w:hAnsi="Calibri"/>
              </w:rPr>
              <w:t>10.26</w:t>
            </w:r>
          </w:p>
        </w:tc>
        <w:tc>
          <w:tcPr>
            <w:tcW w:w="301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jc w:val="center"/>
              <w:rPr>
                <w:rFonts w:ascii="Calibri" w:hAnsi="Calibri" w:eastAsia="Calibri" w:cs="Calibri"/>
              </w:rPr>
            </w:pPr>
            <w:r>
              <w:rPr>
                <w:rFonts w:eastAsia="Calibri" w:cs="Calibri" w:ascii="Calibri" w:hAnsi="Calibri"/>
              </w:rPr>
              <w:t>14.262</w:t>
            </w:r>
          </w:p>
        </w:tc>
      </w:tr>
      <w:tr>
        <w:trPr/>
        <w:tc>
          <w:tcPr>
            <w:tcW w:w="300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jc w:val="center"/>
              <w:rPr>
                <w:rFonts w:ascii="Calibri" w:hAnsi="Calibri" w:eastAsia="Calibri" w:cs="Calibri"/>
              </w:rPr>
            </w:pPr>
            <w:r>
              <w:rPr>
                <w:rFonts w:eastAsia="Calibri" w:cs="Calibri" w:ascii="Calibri" w:hAnsi="Calibri"/>
              </w:rPr>
              <w:t>Cas 2 (moyenne)</w:t>
            </w:r>
          </w:p>
        </w:tc>
        <w:tc>
          <w:tcPr>
            <w:tcW w:w="301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jc w:val="center"/>
              <w:rPr>
                <w:rFonts w:ascii="Calibri" w:hAnsi="Calibri" w:eastAsia="Calibri" w:cs="Calibri"/>
              </w:rPr>
            </w:pPr>
            <w:r>
              <w:rPr>
                <w:rFonts w:eastAsia="Calibri" w:cs="Calibri" w:ascii="Calibri" w:hAnsi="Calibri"/>
              </w:rPr>
              <w:t>4.85</w:t>
            </w:r>
          </w:p>
        </w:tc>
        <w:tc>
          <w:tcPr>
            <w:tcW w:w="301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jc w:val="center"/>
              <w:rPr>
                <w:rFonts w:ascii="Calibri" w:hAnsi="Calibri" w:eastAsia="Calibri" w:cs="Calibri"/>
              </w:rPr>
            </w:pPr>
            <w:r>
              <w:rPr>
                <w:rFonts w:eastAsia="Calibri" w:cs="Calibri" w:ascii="Calibri" w:hAnsi="Calibri"/>
              </w:rPr>
              <w:t>7.1</w:t>
            </w:r>
          </w:p>
        </w:tc>
      </w:tr>
      <w:tr>
        <w:trPr/>
        <w:tc>
          <w:tcPr>
            <w:tcW w:w="300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jc w:val="center"/>
              <w:rPr>
                <w:rFonts w:ascii="Calibri" w:hAnsi="Calibri" w:eastAsia="Calibri" w:cs="Calibri"/>
              </w:rPr>
            </w:pPr>
            <w:r>
              <w:rPr>
                <w:rFonts w:eastAsia="Calibri" w:cs="Calibri" w:ascii="Calibri" w:hAnsi="Calibri"/>
              </w:rPr>
              <w:t>cas 3 (minimum, étiage)</w:t>
            </w:r>
          </w:p>
        </w:tc>
        <w:tc>
          <w:tcPr>
            <w:tcW w:w="301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jc w:val="center"/>
              <w:rPr>
                <w:rFonts w:ascii="Calibri" w:hAnsi="Calibri" w:eastAsia="Calibri" w:cs="Calibri"/>
              </w:rPr>
            </w:pPr>
            <w:r>
              <w:rPr>
                <w:rFonts w:eastAsia="Calibri" w:cs="Calibri" w:ascii="Calibri" w:hAnsi="Calibri"/>
              </w:rPr>
              <w:t>3.45</w:t>
            </w:r>
          </w:p>
        </w:tc>
        <w:tc>
          <w:tcPr>
            <w:tcW w:w="301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jc w:val="center"/>
              <w:rPr>
                <w:rFonts w:ascii="Calibri" w:hAnsi="Calibri" w:eastAsia="Calibri" w:cs="Calibri"/>
              </w:rPr>
            </w:pPr>
            <w:r>
              <w:rPr>
                <w:rFonts w:eastAsia="Calibri" w:cs="Calibri" w:ascii="Calibri" w:hAnsi="Calibri"/>
              </w:rPr>
              <w:t>4.56</w:t>
            </w:r>
          </w:p>
        </w:tc>
      </w:tr>
      <w:tr>
        <w:trPr/>
        <w:tc>
          <w:tcPr>
            <w:tcW w:w="300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jc w:val="center"/>
              <w:rPr>
                <w:rFonts w:ascii="Calibri" w:hAnsi="Calibri" w:eastAsia="Calibri" w:cs="Calibri"/>
              </w:rPr>
            </w:pPr>
            <w:r>
              <w:rPr>
                <w:rFonts w:eastAsia="Calibri" w:cs="Calibri" w:ascii="Calibri" w:hAnsi="Calibri"/>
              </w:rPr>
              <w:t>cas 4</w:t>
            </w:r>
          </w:p>
        </w:tc>
        <w:tc>
          <w:tcPr>
            <w:tcW w:w="301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jc w:val="center"/>
              <w:rPr>
                <w:rFonts w:ascii="Calibri" w:hAnsi="Calibri" w:eastAsia="Calibri" w:cs="Calibri"/>
              </w:rPr>
            </w:pPr>
            <w:r>
              <w:rPr>
                <w:rFonts w:eastAsia="Calibri" w:cs="Calibri" w:ascii="Calibri" w:hAnsi="Calibri"/>
              </w:rPr>
              <w:t>4.85</w:t>
            </w:r>
          </w:p>
        </w:tc>
        <w:tc>
          <w:tcPr>
            <w:tcW w:w="301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jc w:val="center"/>
              <w:rPr>
                <w:rFonts w:ascii="Calibri" w:hAnsi="Calibri" w:eastAsia="Calibri" w:cs="Calibri"/>
              </w:rPr>
            </w:pPr>
            <w:r>
              <w:rPr>
                <w:rFonts w:eastAsia="Calibri" w:cs="Calibri" w:ascii="Calibri" w:hAnsi="Calibri"/>
              </w:rPr>
              <w:t>8.5</w:t>
            </w:r>
          </w:p>
        </w:tc>
      </w:tr>
      <w:tr>
        <w:trPr/>
        <w:tc>
          <w:tcPr>
            <w:tcW w:w="300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jc w:val="center"/>
              <w:rPr>
                <w:rFonts w:ascii="Calibri" w:hAnsi="Calibri" w:eastAsia="Calibri" w:cs="Calibri"/>
              </w:rPr>
            </w:pPr>
            <w:r>
              <w:rPr>
                <w:rFonts w:eastAsia="Calibri" w:cs="Calibri" w:ascii="Calibri" w:hAnsi="Calibri"/>
              </w:rPr>
              <w:t>cas 5</w:t>
            </w:r>
          </w:p>
        </w:tc>
        <w:tc>
          <w:tcPr>
            <w:tcW w:w="301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jc w:val="center"/>
              <w:rPr>
                <w:rFonts w:ascii="Calibri" w:hAnsi="Calibri" w:eastAsia="Calibri" w:cs="Calibri"/>
              </w:rPr>
            </w:pPr>
            <w:r>
              <w:rPr>
                <w:rFonts w:eastAsia="Calibri" w:cs="Calibri" w:ascii="Calibri" w:hAnsi="Calibri"/>
              </w:rPr>
              <w:t>4.85</w:t>
            </w:r>
          </w:p>
        </w:tc>
        <w:tc>
          <w:tcPr>
            <w:tcW w:w="301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jc w:val="center"/>
              <w:rPr>
                <w:rFonts w:ascii="Calibri" w:hAnsi="Calibri" w:eastAsia="Calibri" w:cs="Calibri"/>
              </w:rPr>
            </w:pPr>
            <w:r>
              <w:rPr>
                <w:rFonts w:eastAsia="Calibri" w:cs="Calibri" w:ascii="Calibri" w:hAnsi="Calibri"/>
              </w:rPr>
              <w:t>10</w:t>
            </w:r>
          </w:p>
        </w:tc>
      </w:tr>
      <w:tr>
        <w:trPr/>
        <w:tc>
          <w:tcPr>
            <w:tcW w:w="300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jc w:val="center"/>
              <w:rPr>
                <w:rFonts w:ascii="Calibri" w:hAnsi="Calibri" w:eastAsia="Calibri" w:cs="Calibri"/>
              </w:rPr>
            </w:pPr>
            <w:r>
              <w:rPr>
                <w:rFonts w:eastAsia="Calibri" w:cs="Calibri" w:ascii="Calibri" w:hAnsi="Calibri"/>
              </w:rPr>
              <w:t>cas 6</w:t>
            </w:r>
          </w:p>
        </w:tc>
        <w:tc>
          <w:tcPr>
            <w:tcW w:w="301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jc w:val="center"/>
              <w:rPr>
                <w:rFonts w:ascii="Calibri" w:hAnsi="Calibri" w:eastAsia="Calibri" w:cs="Calibri"/>
              </w:rPr>
            </w:pPr>
            <w:r>
              <w:rPr>
                <w:rFonts w:eastAsia="Calibri" w:cs="Calibri" w:ascii="Calibri" w:hAnsi="Calibri"/>
              </w:rPr>
              <w:t>4.85</w:t>
            </w:r>
          </w:p>
        </w:tc>
        <w:tc>
          <w:tcPr>
            <w:tcW w:w="301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jc w:val="center"/>
              <w:rPr>
                <w:rFonts w:ascii="Calibri" w:hAnsi="Calibri" w:eastAsia="Calibri" w:cs="Calibri"/>
              </w:rPr>
            </w:pPr>
            <w:r>
              <w:rPr>
                <w:rFonts w:eastAsia="Calibri" w:cs="Calibri" w:ascii="Calibri" w:hAnsi="Calibri"/>
              </w:rPr>
              <w:t>6.4</w:t>
            </w:r>
          </w:p>
        </w:tc>
      </w:tr>
    </w:tbl>
    <w:p>
      <w:pPr>
        <w:pStyle w:val="Normal"/>
        <w:rPr/>
      </w:pPr>
      <w:r>
        <w:rPr/>
      </w:r>
    </w:p>
    <w:p>
      <w:pPr>
        <w:pStyle w:val="Normal"/>
        <w:jc w:val="center"/>
        <w:rPr>
          <w:rFonts w:ascii="Calibri" w:hAnsi="Calibri" w:eastAsia="Calibri" w:cs="Calibri"/>
          <w:sz w:val="20"/>
          <w:szCs w:val="20"/>
        </w:rPr>
      </w:pPr>
      <w:r>
        <w:rPr>
          <w:rFonts w:eastAsia="Calibri" w:cs="Calibri" w:ascii="Calibri" w:hAnsi="Calibri"/>
          <w:sz w:val="20"/>
          <w:szCs w:val="20"/>
        </w:rPr>
        <w:t>Tableau 1: Récapitulatif des valeurs des élévations constantes fixées aux frontières amont fluviales de la configuration Gironde pour chaque cas test.</w:t>
      </w:r>
    </w:p>
    <w:p>
      <w:pPr>
        <w:pStyle w:val="Normal"/>
        <w:rPr>
          <w:sz w:val="18"/>
          <w:szCs w:val="18"/>
        </w:rPr>
      </w:pPr>
      <w:r>
        <w:rPr>
          <w:sz w:val="18"/>
          <w:szCs w:val="18"/>
        </w:rPr>
      </w:r>
    </w:p>
    <w:p>
      <w:pPr>
        <w:pStyle w:val="Normal"/>
        <w:rPr>
          <w:sz w:val="18"/>
          <w:szCs w:val="18"/>
        </w:rPr>
      </w:pPr>
      <w:r>
        <w:rPr>
          <w:sz w:val="18"/>
          <w:szCs w:val="18"/>
        </w:rPr>
      </w:r>
    </w:p>
    <w:p>
      <w:pPr>
        <w:pStyle w:val="Normal"/>
        <w:rPr>
          <w:sz w:val="18"/>
          <w:szCs w:val="18"/>
        </w:rPr>
      </w:pPr>
      <w:r>
        <w:rPr>
          <w:sz w:val="18"/>
          <w:szCs w:val="18"/>
        </w:rPr>
        <w:t xml:space="preserve">      </w:t>
      </w:r>
    </w:p>
    <w:p>
      <w:pPr>
        <w:pStyle w:val="Normal"/>
        <w:jc w:val="both"/>
        <w:rPr>
          <w:rFonts w:ascii="Calibri" w:hAnsi="Calibri" w:eastAsia="Calibri" w:cs="Calibri"/>
        </w:rPr>
      </w:pPr>
      <w:r>
        <w:rPr>
          <w:rFonts w:eastAsia="Calibri" w:cs="Calibri" w:ascii="Calibri" w:hAnsi="Calibri"/>
        </w:rPr>
        <w:t xml:space="preserve">    </w:t>
      </w:r>
      <w:r>
        <w:rPr>
          <w:rFonts w:eastAsia="Calibri" w:cs="Calibri" w:ascii="Calibri" w:hAnsi="Calibri"/>
        </w:rPr>
        <w:t xml:space="preserve">Les réponses du fleuve en termes d’élévation et de courant (zonaux et méridiens) ont été analysées sur la Garonne à Bordeaux, Cadillac et Langon où l’influence de la marée est minime. Sur les figures </w:t>
      </w:r>
      <w:r>
        <w:rPr>
          <w:rFonts w:eastAsia="Calibri" w:cs="Calibri" w:ascii="Calibri" w:hAnsi="Calibri"/>
        </w:rPr>
        <w:fldChar w:fldCharType="begin"/>
      </w:r>
      <w:r>
        <w:rPr>
          <w:rFonts w:eastAsia="Calibri" w:cs="Calibri" w:ascii="Calibri" w:hAnsi="Calibri"/>
        </w:rPr>
        <w:instrText> REF Ref_Figure3_number_only \h </w:instrText>
      </w:r>
      <w:r>
        <w:rPr>
          <w:rFonts w:eastAsia="Calibri" w:cs="Calibri" w:ascii="Calibri" w:hAnsi="Calibri"/>
        </w:rPr>
        <w:fldChar w:fldCharType="separate"/>
      </w:r>
      <w:r>
        <w:rPr>
          <w:rFonts w:eastAsia="Calibri" w:cs="Calibri" w:ascii="Calibri" w:hAnsi="Calibri"/>
        </w:rPr>
        <w:t>4</w:t>
      </w:r>
      <w:r>
        <w:rPr>
          <w:rFonts w:eastAsia="Calibri" w:cs="Calibri" w:ascii="Calibri" w:hAnsi="Calibri"/>
        </w:rPr>
        <w:fldChar w:fldCharType="end"/>
      </w:r>
      <w:r>
        <w:rPr>
          <w:rFonts w:eastAsia="Calibri" w:cs="Calibri" w:ascii="Calibri" w:hAnsi="Calibri"/>
        </w:rPr>
        <w:t xml:space="preserve"> (élévation), </w:t>
      </w:r>
      <w:r>
        <w:rPr>
          <w:rFonts w:eastAsia="Calibri" w:cs="Calibri" w:ascii="Calibri" w:hAnsi="Calibri"/>
        </w:rPr>
        <w:fldChar w:fldCharType="begin"/>
      </w:r>
      <w:r>
        <w:rPr>
          <w:rFonts w:eastAsia="Calibri" w:cs="Calibri" w:ascii="Calibri" w:hAnsi="Calibri"/>
        </w:rPr>
        <w:instrText> REF Ref_Figure4_number_only \h </w:instrText>
      </w:r>
      <w:r>
        <w:rPr>
          <w:rFonts w:eastAsia="Calibri" w:cs="Calibri" w:ascii="Calibri" w:hAnsi="Calibri"/>
        </w:rPr>
        <w:fldChar w:fldCharType="separate"/>
      </w:r>
      <w:r>
        <w:rPr>
          <w:rFonts w:eastAsia="Calibri" w:cs="Calibri" w:ascii="Calibri" w:hAnsi="Calibri"/>
        </w:rPr>
        <w:t>5</w:t>
      </w:r>
      <w:r>
        <w:rPr>
          <w:rFonts w:eastAsia="Calibri" w:cs="Calibri" w:ascii="Calibri" w:hAnsi="Calibri"/>
        </w:rPr>
        <w:fldChar w:fldCharType="end"/>
      </w:r>
      <w:r>
        <w:rPr>
          <w:rFonts w:eastAsia="Calibri" w:cs="Calibri" w:ascii="Calibri" w:hAnsi="Calibri"/>
        </w:rPr>
        <w:t xml:space="preserve"> (courant zonal) et </w:t>
      </w:r>
      <w:r>
        <w:rPr>
          <w:rFonts w:eastAsia="Calibri" w:cs="Calibri" w:ascii="Calibri" w:hAnsi="Calibri"/>
        </w:rPr>
        <w:fldChar w:fldCharType="begin"/>
      </w:r>
      <w:r>
        <w:rPr>
          <w:rFonts w:eastAsia="Calibri" w:cs="Calibri" w:ascii="Calibri" w:hAnsi="Calibri"/>
        </w:rPr>
        <w:instrText> REF Ref_Figure5_number_only \h </w:instrText>
      </w:r>
      <w:r>
        <w:rPr>
          <w:rFonts w:eastAsia="Calibri" w:cs="Calibri" w:ascii="Calibri" w:hAnsi="Calibri"/>
        </w:rPr>
        <w:fldChar w:fldCharType="separate"/>
      </w:r>
      <w:r>
        <w:rPr>
          <w:rFonts w:eastAsia="Calibri" w:cs="Calibri" w:ascii="Calibri" w:hAnsi="Calibri"/>
        </w:rPr>
        <w:t>6</w:t>
      </w:r>
      <w:r>
        <w:rPr>
          <w:rFonts w:eastAsia="Calibri" w:cs="Calibri" w:ascii="Calibri" w:hAnsi="Calibri"/>
        </w:rPr>
        <w:fldChar w:fldCharType="end"/>
      </w:r>
      <w:r>
        <w:rPr>
          <w:rFonts w:eastAsia="Calibri" w:cs="Calibri" w:ascii="Calibri" w:hAnsi="Calibri"/>
        </w:rPr>
        <w:t xml:space="preserve"> (courant méridien), le code de couleur utilisé pour différencier les cas sont le bleu pour le cas 1 (C1), orange (C2), vert (C3), rouge (C4), violet (C5) et marron (C6). </w:t>
      </w:r>
    </w:p>
    <w:p>
      <w:pPr>
        <w:pStyle w:val="Normal"/>
        <w:jc w:val="both"/>
        <w:rPr>
          <w:rFonts w:ascii="Calibri" w:hAnsi="Calibri" w:eastAsia="Calibri" w:cs="Calibri"/>
        </w:rPr>
      </w:pPr>
      <w:r>
        <w:rPr>
          <w:rFonts w:eastAsia="Calibri" w:cs="Calibri" w:ascii="Calibri" w:hAnsi="Calibri"/>
        </w:rPr>
      </w:r>
    </w:p>
    <w:p>
      <w:pPr>
        <w:pStyle w:val="Normal"/>
        <w:jc w:val="both"/>
        <w:rPr/>
      </w:pPr>
      <w:r>
        <w:rPr>
          <w:rFonts w:eastAsia="Calibri" w:cs="Calibri" w:ascii="Calibri" w:hAnsi="Calibri"/>
        </w:rPr>
        <w:t xml:space="preserve">    </w:t>
      </w:r>
      <w:r>
        <w:rPr>
          <w:rFonts w:eastAsia="Calibri" w:cs="Calibri" w:ascii="Calibri" w:hAnsi="Calibri"/>
        </w:rPr>
        <w:t>De façon générale, le niveau moyen de l’eau en amont (Langon, Cadillac et Bordeaux) croît avec celui à La Réole (</w:t>
      </w:r>
      <w:r>
        <w:rPr>
          <w:rFonts w:eastAsia="Calibri" w:cs="Calibri" w:ascii="Calibri" w:hAnsi="Calibri"/>
        </w:rPr>
        <w:fldChar w:fldCharType="begin"/>
      </w:r>
      <w:r>
        <w:rPr>
          <w:rFonts w:eastAsia="Calibri" w:cs="Calibri" w:ascii="Calibri" w:hAnsi="Calibri"/>
        </w:rPr>
        <w:instrText> REF Ref_Figure3_label_and_number \h </w:instrText>
      </w:r>
      <w:r>
        <w:rPr>
          <w:rFonts w:eastAsia="Calibri" w:cs="Calibri" w:ascii="Calibri" w:hAnsi="Calibri"/>
        </w:rPr>
        <w:fldChar w:fldCharType="separate"/>
      </w:r>
      <w:r>
        <w:rPr>
          <w:rFonts w:eastAsia="Calibri" w:cs="Calibri" w:ascii="Calibri" w:hAnsi="Calibri"/>
        </w:rPr>
        <w:t>Figure 4</w:t>
      </w:r>
      <w:r>
        <w:rPr>
          <w:rFonts w:eastAsia="Calibri" w:cs="Calibri" w:ascii="Calibri" w:hAnsi="Calibri"/>
        </w:rPr>
        <w:fldChar w:fldCharType="end"/>
      </w:r>
      <w:r>
        <w:rPr>
          <w:rFonts w:eastAsia="Calibri" w:cs="Calibri" w:ascii="Calibri" w:hAnsi="Calibri"/>
        </w:rPr>
        <w:t xml:space="preserve">).  Sur 24h, le niveau maximum de l’eau à Langon et Cadillac reste relativement stable entre les cas 2 à 6. Au contraire, le niveau minimum décroît avec le niveau imposé à La Réole et donne lieu à un écart maximum-minimum sur une journée qui est plus grand en période d’étiage. L’écart est encore plus faible pour le cas C1 qui se distingue des autres par ces valeurs élevées d’élévations. Ceci voudrait dire que les eaux ont tendance à stagner à Langon et Cadillac lorsqu’il est élevé à La Réole (phrase à vérifier).   A Bordeaux l’on observe moins de différences entres les cas 2 à 6, C1 n’influence pas la valeur maximale d'élévations mais bien la valeur minimale et par conséquent l’écart maximum-minimum qui devient plus petit. </w:t>
      </w:r>
    </w:p>
    <w:p>
      <w:pPr>
        <w:pStyle w:val="Normal"/>
        <w:jc w:val="both"/>
        <w:rPr>
          <w:rFonts w:ascii="Calibri" w:hAnsi="Calibri" w:eastAsia="Calibri" w:cs="Calibri"/>
        </w:rPr>
      </w:pPr>
      <w:r>
        <w:rPr>
          <w:rFonts w:eastAsia="Calibri" w:cs="Calibri" w:ascii="Calibri" w:hAnsi="Calibri"/>
        </w:rPr>
      </w:r>
    </w:p>
    <w:p>
      <w:pPr>
        <w:pStyle w:val="Normal"/>
        <w:jc w:val="both"/>
        <w:rPr>
          <w:rFonts w:ascii="Calibri" w:hAnsi="Calibri" w:eastAsia="Calibri" w:cs="Calibri"/>
        </w:rPr>
      </w:pPr>
      <w:r>
        <w:rPr>
          <w:rFonts w:eastAsia="Calibri" w:cs="Calibri" w:ascii="Calibri" w:hAnsi="Calibri"/>
        </w:rPr>
      </w:r>
    </w:p>
    <w:p>
      <w:pPr>
        <w:pStyle w:val="Normal"/>
        <w:jc w:val="both"/>
        <w:rPr/>
      </w:pPr>
      <w:r>
        <w:rPr>
          <w:rFonts w:eastAsia="Calibri" w:cs="Calibri" w:ascii="Calibri" w:hAnsi="Calibri"/>
        </w:rPr>
        <w:t xml:space="preserve">     </w:t>
      </w:r>
      <w:r>
        <w:rPr>
          <w:rFonts w:eastAsia="Calibri" w:cs="Calibri" w:ascii="Calibri" w:hAnsi="Calibri"/>
        </w:rPr>
        <w:t xml:space="preserve">Les impacts du changement d'élévations à La Réole se ressentent sur le courant  davantage à Cadillac et Langon qu’à Bordeaux (figures </w:t>
      </w:r>
      <w:r>
        <w:rPr>
          <w:rFonts w:eastAsia="Calibri" w:cs="Calibri" w:ascii="Calibri" w:hAnsi="Calibri"/>
        </w:rPr>
        <w:fldChar w:fldCharType="begin"/>
      </w:r>
      <w:r>
        <w:rPr>
          <w:rFonts w:eastAsia="Calibri" w:cs="Calibri" w:ascii="Calibri" w:hAnsi="Calibri"/>
        </w:rPr>
        <w:instrText> REF Ref_Figure4_number_only \h </w:instrText>
      </w:r>
      <w:r>
        <w:rPr>
          <w:rFonts w:eastAsia="Calibri" w:cs="Calibri" w:ascii="Calibri" w:hAnsi="Calibri"/>
        </w:rPr>
        <w:fldChar w:fldCharType="separate"/>
      </w:r>
      <w:r>
        <w:rPr>
          <w:rFonts w:eastAsia="Calibri" w:cs="Calibri" w:ascii="Calibri" w:hAnsi="Calibri"/>
        </w:rPr>
        <w:t>5</w:t>
      </w:r>
      <w:r>
        <w:rPr>
          <w:rFonts w:eastAsia="Calibri" w:cs="Calibri" w:ascii="Calibri" w:hAnsi="Calibri"/>
        </w:rPr>
        <w:fldChar w:fldCharType="end"/>
      </w:r>
      <w:r>
        <w:rPr>
          <w:rFonts w:eastAsia="Calibri" w:cs="Calibri" w:ascii="Calibri" w:hAnsi="Calibri"/>
        </w:rPr>
        <w:t xml:space="preserve"> et </w:t>
      </w:r>
      <w:r>
        <w:rPr>
          <w:rFonts w:eastAsia="Calibri" w:cs="Calibri" w:ascii="Calibri" w:hAnsi="Calibri"/>
        </w:rPr>
        <w:fldChar w:fldCharType="begin"/>
      </w:r>
      <w:r>
        <w:rPr>
          <w:rFonts w:eastAsia="Calibri" w:cs="Calibri" w:ascii="Calibri" w:hAnsi="Calibri"/>
        </w:rPr>
        <w:instrText> REF Ref_Figure5_number_only \h </w:instrText>
      </w:r>
      <w:r>
        <w:rPr>
          <w:rFonts w:eastAsia="Calibri" w:cs="Calibri" w:ascii="Calibri" w:hAnsi="Calibri"/>
        </w:rPr>
        <w:fldChar w:fldCharType="separate"/>
      </w:r>
      <w:r>
        <w:rPr>
          <w:rFonts w:eastAsia="Calibri" w:cs="Calibri" w:ascii="Calibri" w:hAnsi="Calibri"/>
        </w:rPr>
        <w:t>6</w:t>
      </w:r>
      <w:r>
        <w:rPr>
          <w:rFonts w:eastAsia="Calibri" w:cs="Calibri" w:ascii="Calibri" w:hAnsi="Calibri"/>
        </w:rPr>
        <w:fldChar w:fldCharType="end"/>
      </w:r>
      <w:r>
        <w:rPr>
          <w:rFonts w:eastAsia="Calibri" w:cs="Calibri" w:ascii="Calibri" w:hAnsi="Calibri"/>
        </w:rPr>
        <w:t xml:space="preserve">).  En plus de l’intensité qui changent d’un cas à l'autre, on note des changements progressifs du sens de propagation des dits courants. Orienté vers le sud pour des valeurs faibles d’élévations à La Réole, le courant méridien dévie vers le nord  pour des élévations plus fortes à La Réole.  Le courant zonal lui passe d’une orientation ouest (en période de crue) pour une orientation vers l’est (en étiage). Comme à la </w:t>
      </w:r>
      <w:r>
        <w:rPr>
          <w:rFonts w:eastAsia="Calibri" w:cs="Calibri" w:ascii="Calibri" w:hAnsi="Calibri"/>
        </w:rPr>
        <w:fldChar w:fldCharType="begin"/>
      </w:r>
      <w:r>
        <w:rPr>
          <w:rFonts w:eastAsia="Calibri" w:cs="Calibri" w:ascii="Calibri" w:hAnsi="Calibri"/>
        </w:rPr>
        <w:instrText> REF Ref_Figure4_label_and_number \h </w:instrText>
      </w:r>
      <w:r>
        <w:rPr>
          <w:rFonts w:eastAsia="Calibri" w:cs="Calibri" w:ascii="Calibri" w:hAnsi="Calibri"/>
        </w:rPr>
        <w:fldChar w:fldCharType="separate"/>
      </w:r>
      <w:r>
        <w:rPr>
          <w:rFonts w:eastAsia="Calibri" w:cs="Calibri" w:ascii="Calibri" w:hAnsi="Calibri"/>
        </w:rPr>
        <w:t>Figure 5</w:t>
      </w:r>
      <w:r>
        <w:rPr>
          <w:rFonts w:eastAsia="Calibri" w:cs="Calibri" w:ascii="Calibri" w:hAnsi="Calibri"/>
        </w:rPr>
        <w:fldChar w:fldCharType="end"/>
      </w:r>
      <w:r>
        <w:rPr>
          <w:rFonts w:eastAsia="Calibri" w:cs="Calibri" w:ascii="Calibri" w:hAnsi="Calibri"/>
        </w:rPr>
        <w:t xml:space="preserve">, l'écart d’intensité entre les pics d’intensité de courants en marée haute (maximum)  et marée basse (minimum) décroît avec l'élévation à La Réole. </w:t>
      </w:r>
    </w:p>
    <w:p>
      <w:pPr>
        <w:pStyle w:val="Normal"/>
        <w:rPr/>
      </w:pPr>
      <w:r>
        <w:rPr/>
      </w:r>
    </w:p>
    <w:p>
      <w:pPr>
        <w:pStyle w:val="Normal"/>
        <w:rPr/>
      </w:pPr>
      <w:r>
        <w:rPr/>
      </w:r>
    </w:p>
    <w:p>
      <w:pPr>
        <w:pStyle w:val="Normal"/>
        <w:rPr/>
      </w:pPr>
      <w:r>
        <w:rPr/>
      </w:r>
    </w:p>
    <w:p>
      <w:pPr>
        <w:pStyle w:val="Normal"/>
        <w:rPr/>
      </w:pPr>
      <w:r>
        <w:rPr/>
      </w:r>
    </w:p>
    <w:p>
      <w:pPr>
        <w:pStyle w:val="Normal"/>
        <w:rPr/>
      </w:pPr>
      <w:r>
        <w:rPr/>
        <w:drawing>
          <wp:inline distT="0" distB="0" distL="0" distR="0">
            <wp:extent cx="5410200" cy="7035165"/>
            <wp:effectExtent l="0" t="0" r="0" b="0"/>
            <wp:docPr id="5"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descr=""/>
                    <pic:cNvPicPr>
                      <a:picLocks noChangeAspect="1" noChangeArrowheads="1"/>
                    </pic:cNvPicPr>
                  </pic:nvPicPr>
                  <pic:blipFill>
                    <a:blip r:embed="rId7"/>
                    <a:srcRect l="0" t="9178" r="0" b="0"/>
                    <a:stretch>
                      <a:fillRect/>
                    </a:stretch>
                  </pic:blipFill>
                  <pic:spPr bwMode="auto">
                    <a:xfrm>
                      <a:off x="0" y="0"/>
                      <a:ext cx="5410200" cy="7035165"/>
                    </a:xfrm>
                    <a:prstGeom prst="rect">
                      <a:avLst/>
                    </a:prstGeom>
                  </pic:spPr>
                </pic:pic>
              </a:graphicData>
            </a:graphic>
          </wp:inline>
        </w:drawing>
      </w:r>
    </w:p>
    <w:p>
      <w:pPr>
        <w:pStyle w:val="Normal"/>
        <w:rPr/>
      </w:pPr>
      <w:r>
        <w:rPr/>
      </w:r>
    </w:p>
    <w:p>
      <w:pPr>
        <w:pStyle w:val="Normal"/>
        <w:jc w:val="center"/>
        <w:rPr/>
      </w:pPr>
      <w:bookmarkStart w:id="10" w:name="Ref_Figure3_label_and_number"/>
      <w:r>
        <w:rPr>
          <w:rFonts w:eastAsia="Calibri" w:cs="Calibri" w:ascii="Calibri" w:hAnsi="Calibri"/>
          <w:sz w:val="20"/>
          <w:szCs w:val="20"/>
        </w:rPr>
        <w:t xml:space="preserve">Figure </w:t>
      </w:r>
      <w:bookmarkStart w:id="11" w:name="Ref_Figure3_number_only"/>
      <w:r>
        <w:rPr>
          <w:rFonts w:eastAsia="Calibri" w:cs="Calibri" w:ascii="Calibri" w:hAnsi="Calibri"/>
          <w:sz w:val="20"/>
          <w:szCs w:val="20"/>
        </w:rPr>
        <w:fldChar w:fldCharType="begin"/>
      </w:r>
      <w:r>
        <w:rPr>
          <w:sz w:val="20"/>
          <w:szCs w:val="20"/>
          <w:rFonts w:eastAsia="Calibri" w:cs="Calibri" w:ascii="Calibri" w:hAnsi="Calibri"/>
        </w:rPr>
        <w:instrText> SEQ Figure \* ARABIC </w:instrText>
      </w:r>
      <w:r>
        <w:rPr>
          <w:sz w:val="20"/>
          <w:szCs w:val="20"/>
          <w:rFonts w:eastAsia="Calibri" w:cs="Calibri" w:ascii="Calibri" w:hAnsi="Calibri"/>
        </w:rPr>
        <w:fldChar w:fldCharType="separate"/>
      </w:r>
      <w:r>
        <w:rPr>
          <w:sz w:val="20"/>
          <w:szCs w:val="20"/>
          <w:rFonts w:eastAsia="Calibri" w:cs="Calibri" w:ascii="Calibri" w:hAnsi="Calibri"/>
        </w:rPr>
        <w:t>4</w:t>
      </w:r>
      <w:r>
        <w:rPr>
          <w:sz w:val="20"/>
          <w:szCs w:val="20"/>
          <w:rFonts w:eastAsia="Calibri" w:cs="Calibri" w:ascii="Calibri" w:hAnsi="Calibri"/>
        </w:rPr>
        <w:fldChar w:fldCharType="end"/>
      </w:r>
      <w:bookmarkEnd w:id="10"/>
      <w:bookmarkEnd w:id="11"/>
      <w:r>
        <w:rPr>
          <w:rFonts w:eastAsia="Calibri" w:cs="Calibri" w:ascii="Calibri" w:hAnsi="Calibri"/>
          <w:sz w:val="20"/>
          <w:szCs w:val="20"/>
        </w:rPr>
        <w:t xml:space="preserve"> :  </w:t>
      </w:r>
      <w:r>
        <w:rPr>
          <w:sz w:val="18"/>
          <w:szCs w:val="18"/>
        </w:rPr>
        <w:t xml:space="preserve">Les élévations (m) à différentes stations en fonctions du cas test. </w:t>
      </w:r>
    </w:p>
    <w:p>
      <w:pPr>
        <w:pStyle w:val="Normal"/>
        <w:rPr>
          <w:sz w:val="18"/>
          <w:szCs w:val="18"/>
        </w:rPr>
      </w:pPr>
      <w:r>
        <w:rPr>
          <w:sz w:val="18"/>
          <w:szCs w:val="18"/>
        </w:rPr>
      </w:r>
    </w:p>
    <w:p>
      <w:pPr>
        <w:pStyle w:val="Normal"/>
        <w:rPr/>
      </w:pPr>
      <w:r>
        <w:rPr/>
        <w:drawing>
          <wp:inline distT="0" distB="0" distL="0" distR="0">
            <wp:extent cx="5731510" cy="7264400"/>
            <wp:effectExtent l="0" t="0" r="0" b="0"/>
            <wp:docPr id="6"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descr=""/>
                    <pic:cNvPicPr>
                      <a:picLocks noChangeAspect="1" noChangeArrowheads="1"/>
                    </pic:cNvPicPr>
                  </pic:nvPicPr>
                  <pic:blipFill>
                    <a:blip r:embed="rId8"/>
                    <a:srcRect l="0" t="3491" r="0" b="3484"/>
                    <a:stretch>
                      <a:fillRect/>
                    </a:stretch>
                  </pic:blipFill>
                  <pic:spPr bwMode="auto">
                    <a:xfrm>
                      <a:off x="0" y="0"/>
                      <a:ext cx="5731510" cy="7264400"/>
                    </a:xfrm>
                    <a:prstGeom prst="rect">
                      <a:avLst/>
                    </a:prstGeom>
                  </pic:spPr>
                </pic:pic>
              </a:graphicData>
            </a:graphic>
          </wp:inline>
        </w:drawing>
      </w:r>
    </w:p>
    <w:p>
      <w:pPr>
        <w:pStyle w:val="Normal"/>
        <w:rPr/>
      </w:pPr>
      <w:r>
        <w:rPr/>
      </w:r>
    </w:p>
    <w:p>
      <w:pPr>
        <w:pStyle w:val="Normal"/>
        <w:jc w:val="center"/>
        <w:rPr/>
      </w:pPr>
      <w:bookmarkStart w:id="12" w:name="Ref_Figure4_label_and_number"/>
      <w:r>
        <w:rPr>
          <w:rFonts w:eastAsia="Calibri" w:cs="Calibri" w:ascii="Calibri" w:hAnsi="Calibri"/>
          <w:sz w:val="20"/>
          <w:szCs w:val="20"/>
        </w:rPr>
        <w:t xml:space="preserve">Figure </w:t>
      </w:r>
      <w:bookmarkStart w:id="13" w:name="Ref_Figure4_number_only"/>
      <w:r>
        <w:rPr>
          <w:rFonts w:eastAsia="Calibri" w:cs="Calibri" w:ascii="Calibri" w:hAnsi="Calibri"/>
          <w:sz w:val="20"/>
          <w:szCs w:val="20"/>
        </w:rPr>
        <w:fldChar w:fldCharType="begin"/>
      </w:r>
      <w:r>
        <w:rPr>
          <w:sz w:val="20"/>
          <w:szCs w:val="20"/>
          <w:rFonts w:eastAsia="Calibri" w:cs="Calibri" w:ascii="Calibri" w:hAnsi="Calibri"/>
        </w:rPr>
        <w:instrText> SEQ Figure \* ARABIC </w:instrText>
      </w:r>
      <w:r>
        <w:rPr>
          <w:sz w:val="20"/>
          <w:szCs w:val="20"/>
          <w:rFonts w:eastAsia="Calibri" w:cs="Calibri" w:ascii="Calibri" w:hAnsi="Calibri"/>
        </w:rPr>
        <w:fldChar w:fldCharType="separate"/>
      </w:r>
      <w:r>
        <w:rPr>
          <w:sz w:val="20"/>
          <w:szCs w:val="20"/>
          <w:rFonts w:eastAsia="Calibri" w:cs="Calibri" w:ascii="Calibri" w:hAnsi="Calibri"/>
        </w:rPr>
        <w:t>5</w:t>
      </w:r>
      <w:r>
        <w:rPr>
          <w:sz w:val="20"/>
          <w:szCs w:val="20"/>
          <w:rFonts w:eastAsia="Calibri" w:cs="Calibri" w:ascii="Calibri" w:hAnsi="Calibri"/>
        </w:rPr>
        <w:fldChar w:fldCharType="end"/>
      </w:r>
      <w:bookmarkEnd w:id="12"/>
      <w:bookmarkEnd w:id="13"/>
      <w:r>
        <w:rPr>
          <w:rFonts w:eastAsia="Calibri" w:cs="Calibri" w:ascii="Calibri" w:hAnsi="Calibri"/>
          <w:sz w:val="20"/>
          <w:szCs w:val="20"/>
        </w:rPr>
        <w:t xml:space="preserve"> :  </w:t>
      </w:r>
      <w:r>
        <w:rPr>
          <w:sz w:val="18"/>
          <w:szCs w:val="18"/>
        </w:rPr>
        <w:t xml:space="preserve">Le courant zonal (m/s) à différentes stations en fonctions du cas test. </w:t>
      </w:r>
    </w:p>
    <w:p>
      <w:pPr>
        <w:pStyle w:val="Normal"/>
        <w:rPr>
          <w:sz w:val="18"/>
          <w:szCs w:val="18"/>
        </w:rPr>
      </w:pPr>
      <w:r>
        <w:rPr>
          <w:sz w:val="18"/>
          <w:szCs w:val="18"/>
        </w:rPr>
      </w:r>
    </w:p>
    <w:p>
      <w:pPr>
        <w:pStyle w:val="Normal"/>
        <w:rPr/>
      </w:pPr>
      <w:r>
        <w:rPr/>
        <w:drawing>
          <wp:inline distT="0" distB="0" distL="0" distR="0">
            <wp:extent cx="5731510" cy="7404100"/>
            <wp:effectExtent l="0" t="0" r="0" b="0"/>
            <wp:docPr id="7"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descr=""/>
                    <pic:cNvPicPr>
                      <a:picLocks noChangeAspect="1" noChangeArrowheads="1"/>
                    </pic:cNvPicPr>
                  </pic:nvPicPr>
                  <pic:blipFill>
                    <a:blip r:embed="rId9"/>
                    <a:srcRect l="0" t="3400" r="0" b="3400"/>
                    <a:stretch>
                      <a:fillRect/>
                    </a:stretch>
                  </pic:blipFill>
                  <pic:spPr bwMode="auto">
                    <a:xfrm>
                      <a:off x="0" y="0"/>
                      <a:ext cx="5731510" cy="7404100"/>
                    </a:xfrm>
                    <a:prstGeom prst="rect">
                      <a:avLst/>
                    </a:prstGeom>
                  </pic:spPr>
                </pic:pic>
              </a:graphicData>
            </a:graphic>
          </wp:inline>
        </w:drawing>
      </w:r>
    </w:p>
    <w:p>
      <w:pPr>
        <w:pStyle w:val="Normal"/>
        <w:rPr>
          <w:sz w:val="18"/>
          <w:szCs w:val="18"/>
        </w:rPr>
      </w:pPr>
      <w:r>
        <w:rPr>
          <w:sz w:val="18"/>
          <w:szCs w:val="18"/>
        </w:rPr>
      </w:r>
    </w:p>
    <w:p>
      <w:pPr>
        <w:pStyle w:val="Normal"/>
        <w:jc w:val="center"/>
        <w:rPr/>
      </w:pPr>
      <w:r>
        <w:rPr>
          <w:rFonts w:eastAsia="Calibri" w:cs="Calibri" w:ascii="Calibri" w:hAnsi="Calibri"/>
          <w:sz w:val="20"/>
          <w:szCs w:val="20"/>
        </w:rPr>
        <w:t xml:space="preserve">Figure </w:t>
      </w:r>
      <w:bookmarkStart w:id="14" w:name="Ref_Figure5_number_only"/>
      <w:r>
        <w:rPr>
          <w:rFonts w:eastAsia="Calibri" w:cs="Calibri" w:ascii="Calibri" w:hAnsi="Calibri"/>
          <w:sz w:val="20"/>
          <w:szCs w:val="20"/>
        </w:rPr>
        <w:fldChar w:fldCharType="begin"/>
      </w:r>
      <w:r>
        <w:rPr>
          <w:sz w:val="20"/>
          <w:szCs w:val="20"/>
          <w:rFonts w:eastAsia="Calibri" w:cs="Calibri" w:ascii="Calibri" w:hAnsi="Calibri"/>
        </w:rPr>
        <w:instrText> SEQ Figure \* ARABIC </w:instrText>
      </w:r>
      <w:r>
        <w:rPr>
          <w:sz w:val="20"/>
          <w:szCs w:val="20"/>
          <w:rFonts w:eastAsia="Calibri" w:cs="Calibri" w:ascii="Calibri" w:hAnsi="Calibri"/>
        </w:rPr>
        <w:fldChar w:fldCharType="separate"/>
      </w:r>
      <w:r>
        <w:rPr>
          <w:sz w:val="20"/>
          <w:szCs w:val="20"/>
          <w:rFonts w:eastAsia="Calibri" w:cs="Calibri" w:ascii="Calibri" w:hAnsi="Calibri"/>
        </w:rPr>
        <w:t>6</w:t>
      </w:r>
      <w:r>
        <w:rPr>
          <w:sz w:val="20"/>
          <w:szCs w:val="20"/>
          <w:rFonts w:eastAsia="Calibri" w:cs="Calibri" w:ascii="Calibri" w:hAnsi="Calibri"/>
        </w:rPr>
        <w:fldChar w:fldCharType="end"/>
      </w:r>
      <w:bookmarkEnd w:id="14"/>
      <w:r>
        <w:rPr>
          <w:rFonts w:eastAsia="Calibri" w:cs="Calibri" w:ascii="Calibri" w:hAnsi="Calibri"/>
          <w:sz w:val="20"/>
          <w:szCs w:val="20"/>
        </w:rPr>
        <w:t xml:space="preserve"> : </w:t>
      </w:r>
      <w:r>
        <w:rPr>
          <w:sz w:val="18"/>
          <w:szCs w:val="18"/>
        </w:rPr>
        <w:t xml:space="preserve">Le courant méridien (m/s) à différentes stations en fonctions du cas test. </w:t>
      </w:r>
    </w:p>
    <w:p>
      <w:pPr>
        <w:pStyle w:val="Normal"/>
        <w:rPr/>
      </w:pPr>
      <w:r>
        <w:rPr/>
      </w:r>
    </w:p>
    <w:p>
      <w:pPr>
        <w:pStyle w:val="Normal"/>
        <w:rPr/>
      </w:pPr>
      <w:r>
        <w:rPr/>
      </w:r>
      <w:r>
        <w:br w:type="page"/>
      </w:r>
    </w:p>
    <w:p>
      <w:pPr>
        <w:pStyle w:val="Heading2"/>
        <w:numPr>
          <w:ilvl w:val="1"/>
          <w:numId w:val="3"/>
        </w:numPr>
        <w:rPr/>
      </w:pPr>
      <w:bookmarkStart w:id="15" w:name="_Toc56526507"/>
      <w:r>
        <w:rPr/>
        <w:t>Calibration amont de la configuration Gironde</w:t>
      </w:r>
      <w:bookmarkEnd w:id="15"/>
    </w:p>
    <w:p>
      <w:pPr>
        <w:pStyle w:val="Normal"/>
        <w:rPr/>
      </w:pPr>
      <w:r>
        <w:rPr/>
      </w:r>
    </w:p>
    <w:p>
      <w:pPr>
        <w:pStyle w:val="Normal"/>
        <w:jc w:val="both"/>
        <w:rPr>
          <w:rFonts w:ascii="Calibri" w:hAnsi="Calibri" w:eastAsia="Calibri" w:cs="Calibri"/>
        </w:rPr>
      </w:pPr>
      <w:r>
        <w:rPr>
          <w:rFonts w:eastAsia="Calibri" w:cs="Calibri" w:ascii="Calibri" w:hAnsi="Calibri"/>
        </w:rPr>
        <w:t xml:space="preserve">    </w:t>
      </w:r>
      <w:r>
        <w:rPr>
          <w:rFonts w:eastAsia="Calibri" w:cs="Calibri" w:ascii="Calibri" w:hAnsi="Calibri"/>
        </w:rPr>
        <w:t xml:space="preserve">Après les tests de sensibilité dans le cas académique, nous avons mené des expériences de calibration dans l’objectif de simuler au mieux le débit, l’élévation et le cycle de marée à chacune des sections précédentes (Bordeaux, Cadillac et Langon) en amont de La Réole. Les simulations sont en mode réaliste, c’est-à-dire que le modèle est  maintenant forcé par les toutes les composantes de la marée et la surcote (frontière ouverte côtière) et par les élévations mesurées aux limites ouvertes amont (Pessac et La Réole).  </w:t>
      </w:r>
    </w:p>
    <w:p>
      <w:pPr>
        <w:pStyle w:val="Normal"/>
        <w:jc w:val="both"/>
        <w:rPr>
          <w:rFonts w:ascii="Calibri" w:hAnsi="Calibri" w:eastAsia="Calibri" w:cs="Calibri"/>
        </w:rPr>
      </w:pPr>
      <w:r>
        <w:rPr>
          <w:rFonts w:eastAsia="Calibri" w:cs="Calibri" w:ascii="Calibri" w:hAnsi="Calibri"/>
        </w:rPr>
      </w:r>
    </w:p>
    <w:p>
      <w:pPr>
        <w:pStyle w:val="Normal"/>
        <w:jc w:val="both"/>
        <w:rPr>
          <w:rFonts w:ascii="Calibri" w:hAnsi="Calibri" w:eastAsia="Calibri" w:cs="Calibri"/>
        </w:rPr>
      </w:pPr>
      <w:r>
        <w:rPr>
          <w:rFonts w:eastAsia="Calibri" w:cs="Calibri" w:ascii="Calibri" w:hAnsi="Calibri"/>
        </w:rPr>
        <w:t xml:space="preserve">    </w:t>
      </w:r>
      <w:r>
        <w:rPr>
          <w:rFonts w:eastAsia="Calibri" w:cs="Calibri" w:ascii="Calibri" w:hAnsi="Calibri"/>
        </w:rPr>
        <w:t>Les expériences consistent à ajuster principalement trois paramètres : la rugosité (en abrégé R dans les figures et tableaux), le seuil de bathymétrie (B, qui détermine la hauteur maximum du lit de la rivière par rapport au géoïde de référence) et  l’offset de la bathymétrie (F, permettant de moduler localement la position du lit) aux sections où le besoin se fait ressentir afin que le débit et l’élévation simulées se rapprochent au mieux des observations.</w:t>
      </w:r>
    </w:p>
    <w:p>
      <w:pPr>
        <w:pStyle w:val="Normal"/>
        <w:jc w:val="both"/>
        <w:rPr>
          <w:rFonts w:ascii="Calibri" w:hAnsi="Calibri" w:eastAsia="Calibri" w:cs="Calibri"/>
        </w:rPr>
      </w:pPr>
      <w:r>
        <w:rPr>
          <w:rFonts w:eastAsia="Calibri" w:cs="Calibri" w:ascii="Calibri" w:hAnsi="Calibri"/>
        </w:rPr>
      </w:r>
    </w:p>
    <w:p>
      <w:pPr>
        <w:pStyle w:val="Normal"/>
        <w:jc w:val="both"/>
        <w:rPr/>
      </w:pPr>
      <w:r>
        <w:rPr>
          <w:rFonts w:eastAsia="Calibri" w:cs="Calibri" w:ascii="Calibri" w:hAnsi="Calibri"/>
        </w:rPr>
        <w:t xml:space="preserve">  </w:t>
      </w:r>
      <w:r>
        <w:rPr>
          <w:rFonts w:eastAsia="Calibri" w:cs="Calibri" w:ascii="Calibri" w:hAnsi="Calibri"/>
        </w:rPr>
        <w:t xml:space="preserve">Les valeurs des paramètres B, F et R sont données aux tableaux 2, 3 et 4. Trois seuils de bathymétrie sont testés: le moins profond (-2 m), le moyen (-3 m) et le plus profond (-4 m).  Les tableaux 3 et 4 sont construits suivant le même principe.  Les noms des 14 sections sur la Garonne sont répertoriées à la  première colonne.  La colonne 00 est constituée des valeurs observées ou réelles des paramètres. Dans les colonnes suivantes, seules les valeurs différentes de la colonne 00 sont indiquées. Les colonnes 00 et suivantes constituent des cas tests dont nous faisons référence à partir de l’initial du paramètre et d’un numéro partant de 00 (le cas initial ou réel) à 02 (pour F et B) ou 15 (pour R).    Par exemple R04, B01 et F00 désignent respectivement pour R le cas 4  soit la colonne 6 du tableau 4, pour B le cas 1 (colonne 3 du tableau 2) et pour F le cas 0 c’est à dire la colonne 2 du tableau 3.   La nomenclature des courbes et des expériences est une fusion des triplettes des cas tests comme dans les exemples R00_B00_F00, R03_B01_F02 désignant une première expérience avec R00, B00 et F00 et une seconde expérience dans les conditions R03, B01 et F02. L’expérience R00_B00_F00 (courbe bleue dans les figures) menée dans les conditions initiales des trois paramètres est la plus réaliste de toutes, elle donne déjà une idée sur la capacité du modèle et oriente sur l’ajustement à mener.   </w:t>
      </w:r>
    </w:p>
    <w:p>
      <w:pPr>
        <w:pStyle w:val="Normal"/>
        <w:jc w:val="both"/>
        <w:rPr>
          <w:rFonts w:ascii="Calibri" w:hAnsi="Calibri" w:eastAsia="Calibri" w:cs="Calibri"/>
        </w:rPr>
      </w:pPr>
      <w:r>
        <w:rPr>
          <w:rFonts w:eastAsia="Calibri" w:cs="Calibri" w:ascii="Calibri" w:hAnsi="Calibri"/>
        </w:rPr>
      </w:r>
    </w:p>
    <w:p>
      <w:pPr>
        <w:pStyle w:val="Normal"/>
        <w:jc w:val="both"/>
        <w:rPr>
          <w:rFonts w:ascii="Calibri" w:hAnsi="Calibri" w:eastAsia="Calibri" w:cs="Calibri"/>
        </w:rPr>
      </w:pPr>
      <w:r>
        <w:rPr>
          <w:rFonts w:eastAsia="Calibri" w:cs="Calibri" w:ascii="Calibri" w:hAnsi="Calibri"/>
        </w:rPr>
        <w:t xml:space="preserve">   </w:t>
      </w:r>
      <w:r>
        <w:rPr>
          <w:rFonts w:eastAsia="Calibri" w:cs="Calibri" w:ascii="Calibri" w:hAnsi="Calibri"/>
        </w:rPr>
        <w:t>Les simulations ont été conduites sur la période du 01/01/2016 au 07/03/2017 sur laquelle  nous disposons de débits estimés à La Réole par la DREAL. Les sorties du modèle sont fournies toutes les 10 minutes. Au bout d’une dizaine de jours, le modèle est déjà bien calé sur les observations (</w:t>
      </w:r>
      <w:r>
        <w:rPr>
          <w:rFonts w:eastAsia="Calibri" w:cs="Calibri" w:ascii="Calibri" w:hAnsi="Calibri"/>
        </w:rPr>
        <w:fldChar w:fldCharType="begin"/>
      </w:r>
      <w:r>
        <w:rPr>
          <w:rFonts w:eastAsia="Calibri" w:cs="Calibri" w:ascii="Calibri" w:hAnsi="Calibri"/>
        </w:rPr>
        <w:instrText> REF Ref_Figure13_label_and_number \h </w:instrText>
      </w:r>
      <w:r>
        <w:rPr>
          <w:rFonts w:eastAsia="Calibri" w:cs="Calibri" w:ascii="Calibri" w:hAnsi="Calibri"/>
        </w:rPr>
        <w:fldChar w:fldCharType="separate"/>
      </w:r>
      <w:r>
        <w:rPr>
          <w:rFonts w:eastAsia="Calibri" w:cs="Calibri" w:ascii="Calibri" w:hAnsi="Calibri"/>
        </w:rPr>
        <w:t>Figure 19</w:t>
      </w:r>
      <w:r>
        <w:rPr>
          <w:rFonts w:eastAsia="Calibri" w:cs="Calibri" w:ascii="Calibri" w:hAnsi="Calibri"/>
        </w:rPr>
        <w:fldChar w:fldCharType="end"/>
      </w:r>
      <w:r>
        <w:rPr>
          <w:rFonts w:eastAsia="Calibri" w:cs="Calibri" w:ascii="Calibri" w:hAnsi="Calibri"/>
        </w:rPr>
        <w:t>). La stratégie de modélisation se décline en deux étapes: calibration du modèle à La Réole et la validation aux niveaux des sections en amont.  La calibration des 3 paramètres n’est pas indépendante, et nécessite généralement de tester des triplets à chaque phase de calibration.</w:t>
      </w:r>
    </w:p>
    <w:p>
      <w:pPr>
        <w:pStyle w:val="Normal"/>
        <w:jc w:val="both"/>
        <w:rPr>
          <w:rFonts w:ascii="Calibri" w:hAnsi="Calibri" w:eastAsia="Calibri" w:cs="Calibri"/>
          <w:color w:val="0000FF"/>
        </w:rPr>
      </w:pPr>
      <w:r>
        <w:rPr>
          <w:rFonts w:eastAsia="Calibri" w:cs="Calibri" w:ascii="Calibri" w:hAnsi="Calibri"/>
          <w:color w:val="0000FF"/>
        </w:rPr>
      </w:r>
    </w:p>
    <w:p>
      <w:pPr>
        <w:pStyle w:val="Normal"/>
        <w:rPr>
          <w:rFonts w:ascii="Calibri" w:hAnsi="Calibri" w:eastAsia="Calibri" w:cs="Calibri"/>
        </w:rPr>
      </w:pPr>
      <w:r>
        <w:rPr>
          <w:rFonts w:eastAsia="Calibri" w:cs="Calibri" w:ascii="Calibri" w:hAnsi="Calibri"/>
        </w:rPr>
      </w:r>
    </w:p>
    <w:tbl>
      <w:tblPr>
        <w:tblW w:w="9029" w:type="dxa"/>
        <w:jc w:val="left"/>
        <w:tblInd w:w="0" w:type="dxa"/>
        <w:tblCellMar>
          <w:top w:w="0" w:type="dxa"/>
          <w:left w:w="108" w:type="dxa"/>
          <w:bottom w:w="0" w:type="dxa"/>
          <w:right w:w="108" w:type="dxa"/>
        </w:tblCellMar>
        <w:tblLook w:val="0000" w:noHBand="0" w:noVBand="0" w:firstColumn="0" w:lastRow="0" w:lastColumn="0" w:firstRow="0"/>
      </w:tblPr>
      <w:tblGrid>
        <w:gridCol w:w="2259"/>
        <w:gridCol w:w="2257"/>
        <w:gridCol w:w="2255"/>
        <w:gridCol w:w="2257"/>
      </w:tblGrid>
      <w:tr>
        <w:trPr/>
        <w:tc>
          <w:tcPr>
            <w:tcW w:w="225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r>
          </w:p>
        </w:tc>
        <w:tc>
          <w:tcPr>
            <w:tcW w:w="2257"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B00</w:t>
            </w:r>
          </w:p>
        </w:tc>
        <w:tc>
          <w:tcPr>
            <w:tcW w:w="225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B01</w:t>
            </w:r>
          </w:p>
        </w:tc>
        <w:tc>
          <w:tcPr>
            <w:tcW w:w="2257"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B02</w:t>
            </w:r>
          </w:p>
        </w:tc>
      </w:tr>
      <w:tr>
        <w:trPr/>
        <w:tc>
          <w:tcPr>
            <w:tcW w:w="225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seuil de la bathymétrie</w:t>
            </w:r>
          </w:p>
        </w:tc>
        <w:tc>
          <w:tcPr>
            <w:tcW w:w="2257"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-2 m</w:t>
            </w:r>
          </w:p>
        </w:tc>
        <w:tc>
          <w:tcPr>
            <w:tcW w:w="225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-3 m</w:t>
            </w:r>
          </w:p>
        </w:tc>
        <w:tc>
          <w:tcPr>
            <w:tcW w:w="2257"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-4 m</w:t>
            </w:r>
          </w:p>
        </w:tc>
      </w:tr>
    </w:tbl>
    <w:p>
      <w:pPr>
        <w:pStyle w:val="Normal"/>
        <w:rPr>
          <w:rFonts w:ascii="Calibri" w:hAnsi="Calibri" w:eastAsia="Calibri" w:cs="Calibri"/>
        </w:rPr>
      </w:pPr>
      <w:r>
        <w:rPr>
          <w:rFonts w:eastAsia="Calibri" w:cs="Calibri" w:ascii="Calibri" w:hAnsi="Calibri"/>
        </w:rPr>
      </w:r>
    </w:p>
    <w:p>
      <w:pPr>
        <w:pStyle w:val="Normal"/>
        <w:rPr>
          <w:rFonts w:ascii="Calibri" w:hAnsi="Calibri" w:eastAsia="Calibri" w:cs="Calibri"/>
        </w:rPr>
      </w:pPr>
      <w:r>
        <w:rPr>
          <w:rFonts w:eastAsia="Calibri" w:cs="Calibri" w:ascii="Calibri" w:hAnsi="Calibri"/>
        </w:rPr>
        <w:t>Tableau 2: Tableau récapitulatif des valeurs du seuil de la bathymétrie pour les différents cas tests</w:t>
      </w:r>
    </w:p>
    <w:p>
      <w:pPr>
        <w:pStyle w:val="Normal"/>
        <w:jc w:val="both"/>
        <w:rPr>
          <w:rFonts w:ascii="Calibri" w:hAnsi="Calibri" w:eastAsia="Calibri" w:cs="Calibri"/>
          <w:color w:val="0000FF"/>
        </w:rPr>
      </w:pPr>
      <w:r>
        <w:rPr>
          <w:rFonts w:eastAsia="Calibri" w:cs="Calibri" w:ascii="Calibri" w:hAnsi="Calibri"/>
          <w:color w:val="0000FF"/>
        </w:rPr>
      </w:r>
    </w:p>
    <w:tbl>
      <w:tblPr>
        <w:tblW w:w="7378" w:type="dxa"/>
        <w:jc w:val="left"/>
        <w:tblInd w:w="0" w:type="dxa"/>
        <w:tblCellMar>
          <w:top w:w="0" w:type="dxa"/>
          <w:left w:w="108" w:type="dxa"/>
          <w:bottom w:w="0" w:type="dxa"/>
          <w:right w:w="108" w:type="dxa"/>
        </w:tblCellMar>
        <w:tblLook w:val="0000" w:noHBand="0" w:noVBand="0" w:firstColumn="0" w:lastRow="0" w:lastColumn="0" w:firstRow="0"/>
      </w:tblPr>
      <w:tblGrid>
        <w:gridCol w:w="3669"/>
        <w:gridCol w:w="1502"/>
        <w:gridCol w:w="1095"/>
        <w:gridCol w:w="1111"/>
      </w:tblGrid>
      <w:tr>
        <w:trPr/>
        <w:tc>
          <w:tcPr>
            <w:tcW w:w="36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stations / Sections</w:t>
            </w:r>
          </w:p>
        </w:tc>
        <w:tc>
          <w:tcPr>
            <w:tcW w:w="150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F00</w:t>
            </w:r>
          </w:p>
        </w:tc>
        <w:tc>
          <w:tcPr>
            <w:tcW w:w="109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F01</w:t>
            </w:r>
          </w:p>
        </w:tc>
        <w:tc>
          <w:tcPr>
            <w:tcW w:w="1111"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F02</w:t>
            </w:r>
          </w:p>
        </w:tc>
      </w:tr>
      <w:tr>
        <w:trPr/>
        <w:tc>
          <w:tcPr>
            <w:tcW w:w="36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 Embouchure -&gt; Port-bloc</w:t>
            </w:r>
          </w:p>
        </w:tc>
        <w:tc>
          <w:tcPr>
            <w:tcW w:w="150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0</w:t>
            </w:r>
          </w:p>
        </w:tc>
        <w:tc>
          <w:tcPr>
            <w:tcW w:w="109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w:t>
            </w:r>
          </w:p>
        </w:tc>
        <w:tc>
          <w:tcPr>
            <w:tcW w:w="1111"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w:t>
            </w:r>
          </w:p>
        </w:tc>
      </w:tr>
      <w:tr>
        <w:trPr/>
        <w:tc>
          <w:tcPr>
            <w:tcW w:w="36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2- Port-bloc -&gt; Richard</w:t>
            </w:r>
          </w:p>
        </w:tc>
        <w:tc>
          <w:tcPr>
            <w:tcW w:w="150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0</w:t>
            </w:r>
          </w:p>
        </w:tc>
        <w:tc>
          <w:tcPr>
            <w:tcW w:w="109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w:t>
            </w:r>
          </w:p>
        </w:tc>
        <w:tc>
          <w:tcPr>
            <w:tcW w:w="1111"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w:t>
            </w:r>
          </w:p>
        </w:tc>
      </w:tr>
      <w:tr>
        <w:trPr/>
        <w:tc>
          <w:tcPr>
            <w:tcW w:w="36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3-Lamena</w:t>
            </w:r>
          </w:p>
        </w:tc>
        <w:tc>
          <w:tcPr>
            <w:tcW w:w="150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0</w:t>
            </w:r>
          </w:p>
        </w:tc>
        <w:tc>
          <w:tcPr>
            <w:tcW w:w="109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w:t>
            </w:r>
          </w:p>
        </w:tc>
        <w:tc>
          <w:tcPr>
            <w:tcW w:w="1111"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w:t>
            </w:r>
          </w:p>
        </w:tc>
      </w:tr>
      <w:tr>
        <w:trPr/>
        <w:tc>
          <w:tcPr>
            <w:tcW w:w="36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4-Trompeloup</w:t>
            </w:r>
          </w:p>
        </w:tc>
        <w:tc>
          <w:tcPr>
            <w:tcW w:w="150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0</w:t>
            </w:r>
          </w:p>
        </w:tc>
        <w:tc>
          <w:tcPr>
            <w:tcW w:w="109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w:t>
            </w:r>
          </w:p>
        </w:tc>
        <w:tc>
          <w:tcPr>
            <w:tcW w:w="1111"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w:t>
            </w:r>
          </w:p>
        </w:tc>
      </w:tr>
      <w:tr>
        <w:trPr/>
        <w:tc>
          <w:tcPr>
            <w:tcW w:w="36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5-Fort-médoc</w:t>
            </w:r>
          </w:p>
        </w:tc>
        <w:tc>
          <w:tcPr>
            <w:tcW w:w="150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0</w:t>
            </w:r>
          </w:p>
        </w:tc>
        <w:tc>
          <w:tcPr>
            <w:tcW w:w="109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w:t>
            </w:r>
          </w:p>
        </w:tc>
        <w:tc>
          <w:tcPr>
            <w:tcW w:w="1111"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w:t>
            </w:r>
          </w:p>
        </w:tc>
      </w:tr>
      <w:tr>
        <w:trPr/>
        <w:tc>
          <w:tcPr>
            <w:tcW w:w="36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6-Ambes</w:t>
            </w:r>
          </w:p>
        </w:tc>
        <w:tc>
          <w:tcPr>
            <w:tcW w:w="150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0</w:t>
            </w:r>
          </w:p>
        </w:tc>
        <w:tc>
          <w:tcPr>
            <w:tcW w:w="109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w:t>
            </w:r>
          </w:p>
        </w:tc>
        <w:tc>
          <w:tcPr>
            <w:tcW w:w="1111"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w:t>
            </w:r>
          </w:p>
        </w:tc>
      </w:tr>
      <w:tr>
        <w:trPr/>
        <w:tc>
          <w:tcPr>
            <w:tcW w:w="36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7-Le-marquis</w:t>
            </w:r>
          </w:p>
        </w:tc>
        <w:tc>
          <w:tcPr>
            <w:tcW w:w="150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0</w:t>
            </w:r>
          </w:p>
        </w:tc>
        <w:tc>
          <w:tcPr>
            <w:tcW w:w="109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w:t>
            </w:r>
          </w:p>
        </w:tc>
        <w:tc>
          <w:tcPr>
            <w:tcW w:w="1111"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w:t>
            </w:r>
          </w:p>
        </w:tc>
      </w:tr>
      <w:tr>
        <w:trPr/>
        <w:tc>
          <w:tcPr>
            <w:tcW w:w="36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8-Bassens</w:t>
            </w:r>
          </w:p>
        </w:tc>
        <w:tc>
          <w:tcPr>
            <w:tcW w:w="150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0</w:t>
            </w:r>
          </w:p>
        </w:tc>
        <w:tc>
          <w:tcPr>
            <w:tcW w:w="109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w:t>
            </w:r>
          </w:p>
        </w:tc>
        <w:tc>
          <w:tcPr>
            <w:tcW w:w="1111"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w:t>
            </w:r>
          </w:p>
        </w:tc>
      </w:tr>
      <w:tr>
        <w:trPr/>
        <w:tc>
          <w:tcPr>
            <w:tcW w:w="36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9-Bordeaux</w:t>
            </w:r>
          </w:p>
        </w:tc>
        <w:tc>
          <w:tcPr>
            <w:tcW w:w="150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0</w:t>
            </w:r>
          </w:p>
        </w:tc>
        <w:tc>
          <w:tcPr>
            <w:tcW w:w="109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w:t>
            </w:r>
          </w:p>
        </w:tc>
        <w:tc>
          <w:tcPr>
            <w:tcW w:w="1111"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w:t>
            </w:r>
          </w:p>
        </w:tc>
      </w:tr>
      <w:tr>
        <w:trPr/>
        <w:tc>
          <w:tcPr>
            <w:tcW w:w="36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10-intermediary</w:t>
            </w:r>
          </w:p>
        </w:tc>
        <w:tc>
          <w:tcPr>
            <w:tcW w:w="150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0</w:t>
            </w:r>
          </w:p>
        </w:tc>
        <w:tc>
          <w:tcPr>
            <w:tcW w:w="109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w:t>
            </w:r>
          </w:p>
        </w:tc>
        <w:tc>
          <w:tcPr>
            <w:tcW w:w="1111"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-0.5</w:t>
            </w:r>
          </w:p>
        </w:tc>
      </w:tr>
      <w:tr>
        <w:trPr/>
        <w:tc>
          <w:tcPr>
            <w:tcW w:w="36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11- Intermediary -&gt; Cadillac</w:t>
            </w:r>
          </w:p>
        </w:tc>
        <w:tc>
          <w:tcPr>
            <w:tcW w:w="150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0.5</w:t>
            </w:r>
          </w:p>
        </w:tc>
        <w:tc>
          <w:tcPr>
            <w:tcW w:w="109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-0.5</w:t>
            </w:r>
          </w:p>
        </w:tc>
        <w:tc>
          <w:tcPr>
            <w:tcW w:w="1111"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-1</w:t>
            </w:r>
          </w:p>
        </w:tc>
      </w:tr>
      <w:tr>
        <w:trPr/>
        <w:tc>
          <w:tcPr>
            <w:tcW w:w="36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12- Cadillac -&gt; Langon</w:t>
            </w:r>
          </w:p>
        </w:tc>
        <w:tc>
          <w:tcPr>
            <w:tcW w:w="150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1</w:t>
            </w:r>
          </w:p>
        </w:tc>
        <w:tc>
          <w:tcPr>
            <w:tcW w:w="109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-1</w:t>
            </w:r>
          </w:p>
        </w:tc>
        <w:tc>
          <w:tcPr>
            <w:tcW w:w="1111"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-2</w:t>
            </w:r>
          </w:p>
        </w:tc>
      </w:tr>
      <w:tr>
        <w:trPr/>
        <w:tc>
          <w:tcPr>
            <w:tcW w:w="36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13- Langon -&gt; Castet/Dorthe</w:t>
            </w:r>
          </w:p>
        </w:tc>
        <w:tc>
          <w:tcPr>
            <w:tcW w:w="150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2</w:t>
            </w:r>
          </w:p>
        </w:tc>
        <w:tc>
          <w:tcPr>
            <w:tcW w:w="109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-2</w:t>
            </w:r>
          </w:p>
        </w:tc>
        <w:tc>
          <w:tcPr>
            <w:tcW w:w="1111"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-3</w:t>
            </w:r>
          </w:p>
        </w:tc>
      </w:tr>
      <w:tr>
        <w:trPr/>
        <w:tc>
          <w:tcPr>
            <w:tcW w:w="36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14- Castet/Dorthe -&gt; La Reole</w:t>
            </w:r>
          </w:p>
        </w:tc>
        <w:tc>
          <w:tcPr>
            <w:tcW w:w="150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0</w:t>
            </w:r>
          </w:p>
        </w:tc>
        <w:tc>
          <w:tcPr>
            <w:tcW w:w="109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w:t>
            </w:r>
          </w:p>
        </w:tc>
        <w:tc>
          <w:tcPr>
            <w:tcW w:w="1111"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rPr>
            </w:pPr>
            <w:r>
              <w:rPr>
                <w:rFonts w:eastAsia="Calibri" w:cs="Calibri" w:ascii="Calibri" w:hAnsi="Calibri"/>
              </w:rPr>
              <w:t>-</w:t>
            </w:r>
          </w:p>
        </w:tc>
      </w:tr>
    </w:tbl>
    <w:p>
      <w:pPr>
        <w:pStyle w:val="Normal"/>
        <w:rPr>
          <w:rFonts w:ascii="Calibri" w:hAnsi="Calibri" w:eastAsia="Calibri" w:cs="Calibri"/>
        </w:rPr>
      </w:pPr>
      <w:r>
        <w:rPr>
          <w:rFonts w:eastAsia="Calibri" w:cs="Calibri" w:ascii="Calibri" w:hAnsi="Calibri"/>
        </w:rPr>
      </w:r>
    </w:p>
    <w:p>
      <w:pPr>
        <w:pStyle w:val="Normal"/>
        <w:rPr>
          <w:rFonts w:ascii="Calibri" w:hAnsi="Calibri" w:eastAsia="Calibri" w:cs="Calibri"/>
        </w:rPr>
      </w:pPr>
      <w:r>
        <w:rPr>
          <w:rFonts w:eastAsia="Calibri" w:cs="Calibri" w:ascii="Calibri" w:hAnsi="Calibri"/>
        </w:rPr>
        <w:t>Tableau 3: Tableau récapitulatif des valeurs de l’offset de la bathymétrie pour les différents cas tests.</w:t>
      </w:r>
    </w:p>
    <w:p>
      <w:pPr>
        <w:pStyle w:val="Normal"/>
        <w:rPr>
          <w:rFonts w:ascii="Calibri" w:hAnsi="Calibri" w:eastAsia="Calibri" w:cs="Calibri"/>
        </w:rPr>
      </w:pPr>
      <w:r>
        <w:rPr>
          <w:rFonts w:eastAsia="Calibri" w:cs="Calibri" w:ascii="Calibri" w:hAnsi="Calibri"/>
        </w:rPr>
      </w:r>
    </w:p>
    <w:tbl>
      <w:tblPr>
        <w:tblW w:w="9255" w:type="dxa"/>
        <w:jc w:val="left"/>
        <w:tblInd w:w="0" w:type="dxa"/>
        <w:tblCellMar>
          <w:top w:w="0" w:type="dxa"/>
          <w:left w:w="108" w:type="dxa"/>
          <w:bottom w:w="0" w:type="dxa"/>
          <w:right w:w="108" w:type="dxa"/>
        </w:tblCellMar>
        <w:tblLook w:val="0000" w:noHBand="0" w:noVBand="0" w:firstColumn="0" w:lastRow="0" w:lastColumn="0" w:firstRow="0"/>
      </w:tblPr>
      <w:tblGrid>
        <w:gridCol w:w="2173"/>
        <w:gridCol w:w="733"/>
        <w:gridCol w:w="572"/>
        <w:gridCol w:w="557"/>
        <w:gridCol w:w="569"/>
        <w:gridCol w:w="551"/>
        <w:gridCol w:w="528"/>
        <w:gridCol w:w="540"/>
        <w:gridCol w:w="572"/>
        <w:gridCol w:w="616"/>
        <w:gridCol w:w="554"/>
        <w:gridCol w:w="569"/>
        <w:gridCol w:w="720"/>
      </w:tblGrid>
      <w:tr>
        <w:trPr/>
        <w:tc>
          <w:tcPr>
            <w:tcW w:w="217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sections</w:t>
            </w:r>
          </w:p>
        </w:tc>
        <w:tc>
          <w:tcPr>
            <w:tcW w:w="73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R00</w:t>
            </w:r>
          </w:p>
        </w:tc>
        <w:tc>
          <w:tcPr>
            <w:tcW w:w="57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R01</w:t>
            </w:r>
          </w:p>
        </w:tc>
        <w:tc>
          <w:tcPr>
            <w:tcW w:w="557"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R02</w:t>
            </w:r>
          </w:p>
        </w:tc>
        <w:tc>
          <w:tcPr>
            <w:tcW w:w="5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R03</w:t>
            </w:r>
          </w:p>
        </w:tc>
        <w:tc>
          <w:tcPr>
            <w:tcW w:w="551"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R04</w:t>
            </w:r>
          </w:p>
        </w:tc>
        <w:tc>
          <w:tcPr>
            <w:tcW w:w="528"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R05</w:t>
            </w:r>
          </w:p>
        </w:tc>
        <w:tc>
          <w:tcPr>
            <w:tcW w:w="54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R06</w:t>
            </w:r>
          </w:p>
        </w:tc>
        <w:tc>
          <w:tcPr>
            <w:tcW w:w="57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R07</w:t>
            </w:r>
          </w:p>
        </w:tc>
        <w:tc>
          <w:tcPr>
            <w:tcW w:w="616"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R08</w:t>
            </w:r>
          </w:p>
        </w:tc>
        <w:tc>
          <w:tcPr>
            <w:tcW w:w="554"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R09</w:t>
            </w:r>
          </w:p>
        </w:tc>
        <w:tc>
          <w:tcPr>
            <w:tcW w:w="5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R10</w:t>
            </w:r>
          </w:p>
        </w:tc>
        <w:tc>
          <w:tcPr>
            <w:tcW w:w="72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R11</w:t>
            </w:r>
          </w:p>
        </w:tc>
      </w:tr>
      <w:tr>
        <w:trPr/>
        <w:tc>
          <w:tcPr>
            <w:tcW w:w="217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 Embouchure -&gt; Port-bloc</w:t>
            </w:r>
          </w:p>
        </w:tc>
        <w:tc>
          <w:tcPr>
            <w:tcW w:w="73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1.0e-03</w:t>
            </w:r>
          </w:p>
        </w:tc>
        <w:tc>
          <w:tcPr>
            <w:tcW w:w="57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7"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1"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28"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4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7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616"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4"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2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r>
      <w:tr>
        <w:trPr/>
        <w:tc>
          <w:tcPr>
            <w:tcW w:w="217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2- Port-bloc -&gt; Richard</w:t>
            </w:r>
          </w:p>
        </w:tc>
        <w:tc>
          <w:tcPr>
            <w:tcW w:w="73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5.0e-04</w:t>
            </w:r>
          </w:p>
        </w:tc>
        <w:tc>
          <w:tcPr>
            <w:tcW w:w="57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7"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1"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28"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4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7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616"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4"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2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r>
      <w:tr>
        <w:trPr/>
        <w:tc>
          <w:tcPr>
            <w:tcW w:w="217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3-Lamena</w:t>
            </w:r>
          </w:p>
        </w:tc>
        <w:tc>
          <w:tcPr>
            <w:tcW w:w="73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1.e-05</w:t>
            </w:r>
          </w:p>
        </w:tc>
        <w:tc>
          <w:tcPr>
            <w:tcW w:w="57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7"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1"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28"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4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7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616"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4"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2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r>
      <w:tr>
        <w:trPr/>
        <w:tc>
          <w:tcPr>
            <w:tcW w:w="217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4-Trompeloup</w:t>
            </w:r>
          </w:p>
        </w:tc>
        <w:tc>
          <w:tcPr>
            <w:tcW w:w="73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1.e-05</w:t>
            </w:r>
          </w:p>
        </w:tc>
        <w:tc>
          <w:tcPr>
            <w:tcW w:w="57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7"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1"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28"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4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7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616"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4"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2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r>
      <w:tr>
        <w:trPr/>
        <w:tc>
          <w:tcPr>
            <w:tcW w:w="217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5-Fort-médoc</w:t>
            </w:r>
          </w:p>
        </w:tc>
        <w:tc>
          <w:tcPr>
            <w:tcW w:w="73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1.e-05</w:t>
            </w:r>
          </w:p>
        </w:tc>
        <w:tc>
          <w:tcPr>
            <w:tcW w:w="57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7"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1"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28"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4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7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616"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4"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2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r>
      <w:tr>
        <w:trPr/>
        <w:tc>
          <w:tcPr>
            <w:tcW w:w="217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6-Ambes</w:t>
            </w:r>
          </w:p>
        </w:tc>
        <w:tc>
          <w:tcPr>
            <w:tcW w:w="73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1.e-05</w:t>
            </w:r>
          </w:p>
        </w:tc>
        <w:tc>
          <w:tcPr>
            <w:tcW w:w="57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7"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1"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28"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4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7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616"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4"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2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r>
      <w:tr>
        <w:trPr/>
        <w:tc>
          <w:tcPr>
            <w:tcW w:w="217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7-Le-marquis</w:t>
            </w:r>
          </w:p>
        </w:tc>
        <w:tc>
          <w:tcPr>
            <w:tcW w:w="73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1.e-05</w:t>
            </w:r>
          </w:p>
        </w:tc>
        <w:tc>
          <w:tcPr>
            <w:tcW w:w="57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7"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1"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28"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4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7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616"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4"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2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r>
      <w:tr>
        <w:trPr/>
        <w:tc>
          <w:tcPr>
            <w:tcW w:w="217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8-Bassens</w:t>
            </w:r>
          </w:p>
        </w:tc>
        <w:tc>
          <w:tcPr>
            <w:tcW w:w="73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1.e-05</w:t>
            </w:r>
          </w:p>
        </w:tc>
        <w:tc>
          <w:tcPr>
            <w:tcW w:w="57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7"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1"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28"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4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7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616"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4"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2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r>
      <w:tr>
        <w:trPr/>
        <w:tc>
          <w:tcPr>
            <w:tcW w:w="217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9-Bordeaux</w:t>
            </w:r>
          </w:p>
        </w:tc>
        <w:tc>
          <w:tcPr>
            <w:tcW w:w="73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1.e-05</w:t>
            </w:r>
          </w:p>
        </w:tc>
        <w:tc>
          <w:tcPr>
            <w:tcW w:w="57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7"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1"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28"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4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7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616"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4"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2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r>
      <w:tr>
        <w:trPr/>
        <w:tc>
          <w:tcPr>
            <w:tcW w:w="217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10-intermediary</w:t>
            </w:r>
          </w:p>
        </w:tc>
        <w:tc>
          <w:tcPr>
            <w:tcW w:w="73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1.e-05</w:t>
            </w:r>
          </w:p>
        </w:tc>
        <w:tc>
          <w:tcPr>
            <w:tcW w:w="57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7"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1"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28"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4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57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1e-4</w:t>
            </w:r>
          </w:p>
        </w:tc>
        <w:tc>
          <w:tcPr>
            <w:tcW w:w="616"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1e-4</w:t>
            </w:r>
          </w:p>
        </w:tc>
        <w:tc>
          <w:tcPr>
            <w:tcW w:w="554"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1e-4</w:t>
            </w:r>
          </w:p>
        </w:tc>
        <w:tc>
          <w:tcPr>
            <w:tcW w:w="5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1e-4</w:t>
            </w:r>
          </w:p>
        </w:tc>
        <w:tc>
          <w:tcPr>
            <w:tcW w:w="72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1e-4</w:t>
            </w:r>
          </w:p>
        </w:tc>
      </w:tr>
      <w:tr>
        <w:trPr/>
        <w:tc>
          <w:tcPr>
            <w:tcW w:w="217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11- Intermediary -&gt; Cadillac</w:t>
            </w:r>
          </w:p>
        </w:tc>
        <w:tc>
          <w:tcPr>
            <w:tcW w:w="73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1.e-05</w:t>
            </w:r>
          </w:p>
        </w:tc>
        <w:tc>
          <w:tcPr>
            <w:tcW w:w="57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7"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1"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28"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4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57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616"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1e-4</w:t>
            </w:r>
          </w:p>
        </w:tc>
        <w:tc>
          <w:tcPr>
            <w:tcW w:w="554"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5e-4</w:t>
            </w:r>
          </w:p>
        </w:tc>
        <w:tc>
          <w:tcPr>
            <w:tcW w:w="5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1e-3</w:t>
            </w:r>
          </w:p>
        </w:tc>
        <w:tc>
          <w:tcPr>
            <w:tcW w:w="72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1e-3</w:t>
            </w:r>
          </w:p>
        </w:tc>
      </w:tr>
      <w:tr>
        <w:trPr/>
        <w:tc>
          <w:tcPr>
            <w:tcW w:w="217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12- Cadillac -&gt; Langon</w:t>
            </w:r>
          </w:p>
        </w:tc>
        <w:tc>
          <w:tcPr>
            <w:tcW w:w="73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1.e-05</w:t>
            </w:r>
          </w:p>
        </w:tc>
        <w:tc>
          <w:tcPr>
            <w:tcW w:w="57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7"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1"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528"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4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57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616"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554"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5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72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7.5e-3</w:t>
            </w:r>
          </w:p>
        </w:tc>
      </w:tr>
      <w:tr>
        <w:trPr/>
        <w:tc>
          <w:tcPr>
            <w:tcW w:w="217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13- Langon -&gt; Castet/Dorthe</w:t>
            </w:r>
          </w:p>
        </w:tc>
        <w:tc>
          <w:tcPr>
            <w:tcW w:w="73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1.e-04</w:t>
            </w:r>
          </w:p>
        </w:tc>
        <w:tc>
          <w:tcPr>
            <w:tcW w:w="57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7"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1e-3</w:t>
            </w:r>
          </w:p>
        </w:tc>
        <w:tc>
          <w:tcPr>
            <w:tcW w:w="5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1"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528"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4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57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616"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554"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5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72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r>
      <w:tr>
        <w:trPr/>
        <w:tc>
          <w:tcPr>
            <w:tcW w:w="217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14- Castet/Dorthe -&gt; La Reole</w:t>
            </w:r>
          </w:p>
        </w:tc>
        <w:tc>
          <w:tcPr>
            <w:tcW w:w="73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5.e-04</w:t>
            </w:r>
          </w:p>
        </w:tc>
        <w:tc>
          <w:tcPr>
            <w:tcW w:w="57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1e-3</w:t>
            </w:r>
          </w:p>
        </w:tc>
        <w:tc>
          <w:tcPr>
            <w:tcW w:w="557"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1e-3</w:t>
            </w:r>
          </w:p>
        </w:tc>
        <w:tc>
          <w:tcPr>
            <w:tcW w:w="5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1e-2</w:t>
            </w:r>
          </w:p>
        </w:tc>
        <w:tc>
          <w:tcPr>
            <w:tcW w:w="551"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528"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54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57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616"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554"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569"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72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r>
    </w:tbl>
    <w:p>
      <w:pPr>
        <w:pStyle w:val="Normal"/>
        <w:rPr>
          <w:rFonts w:ascii="Calibri" w:hAnsi="Calibri" w:eastAsia="Calibri" w:cs="Calibri"/>
          <w:sz w:val="16"/>
          <w:szCs w:val="16"/>
        </w:rPr>
      </w:pPr>
      <w:r>
        <w:rPr>
          <w:rFonts w:eastAsia="Calibri" w:cs="Calibri" w:ascii="Calibri" w:hAnsi="Calibri"/>
          <w:sz w:val="16"/>
          <w:szCs w:val="16"/>
        </w:rPr>
      </w:r>
    </w:p>
    <w:tbl>
      <w:tblPr>
        <w:tblW w:w="5235" w:type="dxa"/>
        <w:jc w:val="left"/>
        <w:tblInd w:w="0" w:type="dxa"/>
        <w:tblCellMar>
          <w:top w:w="0" w:type="dxa"/>
          <w:left w:w="108" w:type="dxa"/>
          <w:bottom w:w="0" w:type="dxa"/>
          <w:right w:w="108" w:type="dxa"/>
        </w:tblCellMar>
        <w:tblLook w:val="0000" w:noHBand="0" w:noVBand="0" w:firstColumn="0" w:lastRow="0" w:lastColumn="0" w:firstRow="0"/>
      </w:tblPr>
      <w:tblGrid>
        <w:gridCol w:w="2175"/>
        <w:gridCol w:w="764"/>
        <w:gridCol w:w="765"/>
        <w:gridCol w:w="765"/>
        <w:gridCol w:w="766"/>
      </w:tblGrid>
      <w:tr>
        <w:trPr/>
        <w:tc>
          <w:tcPr>
            <w:tcW w:w="217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section</w:t>
            </w:r>
          </w:p>
        </w:tc>
        <w:tc>
          <w:tcPr>
            <w:tcW w:w="764"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R12</w:t>
            </w:r>
          </w:p>
        </w:tc>
        <w:tc>
          <w:tcPr>
            <w:tcW w:w="76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R13</w:t>
            </w:r>
          </w:p>
        </w:tc>
        <w:tc>
          <w:tcPr>
            <w:tcW w:w="76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R14</w:t>
            </w:r>
          </w:p>
        </w:tc>
        <w:tc>
          <w:tcPr>
            <w:tcW w:w="766"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R15</w:t>
            </w:r>
          </w:p>
        </w:tc>
      </w:tr>
      <w:tr>
        <w:trPr/>
        <w:tc>
          <w:tcPr>
            <w:tcW w:w="217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 Embouchure -&gt; Port-bloc</w:t>
            </w:r>
          </w:p>
        </w:tc>
        <w:tc>
          <w:tcPr>
            <w:tcW w:w="764"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6"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r>
      <w:tr>
        <w:trPr/>
        <w:tc>
          <w:tcPr>
            <w:tcW w:w="217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2- Port-bloc -&gt; Richard</w:t>
            </w:r>
          </w:p>
        </w:tc>
        <w:tc>
          <w:tcPr>
            <w:tcW w:w="764"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6"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r>
      <w:tr>
        <w:trPr/>
        <w:tc>
          <w:tcPr>
            <w:tcW w:w="217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3-Lamena</w:t>
            </w:r>
          </w:p>
        </w:tc>
        <w:tc>
          <w:tcPr>
            <w:tcW w:w="764"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6"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r>
      <w:tr>
        <w:trPr/>
        <w:tc>
          <w:tcPr>
            <w:tcW w:w="217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4-Trompeloup</w:t>
            </w:r>
          </w:p>
        </w:tc>
        <w:tc>
          <w:tcPr>
            <w:tcW w:w="764"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6"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r>
      <w:tr>
        <w:trPr/>
        <w:tc>
          <w:tcPr>
            <w:tcW w:w="217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5-Fort-médoc</w:t>
            </w:r>
          </w:p>
        </w:tc>
        <w:tc>
          <w:tcPr>
            <w:tcW w:w="764"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6"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r>
      <w:tr>
        <w:trPr/>
        <w:tc>
          <w:tcPr>
            <w:tcW w:w="217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6-Ambes</w:t>
            </w:r>
          </w:p>
        </w:tc>
        <w:tc>
          <w:tcPr>
            <w:tcW w:w="764"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6"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r>
      <w:tr>
        <w:trPr/>
        <w:tc>
          <w:tcPr>
            <w:tcW w:w="217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7-Le-marquis</w:t>
            </w:r>
          </w:p>
        </w:tc>
        <w:tc>
          <w:tcPr>
            <w:tcW w:w="764"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6"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r>
      <w:tr>
        <w:trPr/>
        <w:tc>
          <w:tcPr>
            <w:tcW w:w="217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8-Bassens</w:t>
            </w:r>
          </w:p>
        </w:tc>
        <w:tc>
          <w:tcPr>
            <w:tcW w:w="764"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6"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r>
      <w:tr>
        <w:trPr/>
        <w:tc>
          <w:tcPr>
            <w:tcW w:w="217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9-Bordeaux</w:t>
            </w:r>
          </w:p>
        </w:tc>
        <w:tc>
          <w:tcPr>
            <w:tcW w:w="764"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6"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r>
      <w:tr>
        <w:trPr/>
        <w:tc>
          <w:tcPr>
            <w:tcW w:w="217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10-intermediary</w:t>
            </w:r>
          </w:p>
        </w:tc>
        <w:tc>
          <w:tcPr>
            <w:tcW w:w="764"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1e-4</w:t>
            </w:r>
          </w:p>
        </w:tc>
        <w:tc>
          <w:tcPr>
            <w:tcW w:w="76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1e-4</w:t>
            </w:r>
          </w:p>
        </w:tc>
        <w:tc>
          <w:tcPr>
            <w:tcW w:w="76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1e-4</w:t>
            </w:r>
          </w:p>
        </w:tc>
        <w:tc>
          <w:tcPr>
            <w:tcW w:w="766"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1e-4</w:t>
            </w:r>
          </w:p>
        </w:tc>
      </w:tr>
      <w:tr>
        <w:trPr/>
        <w:tc>
          <w:tcPr>
            <w:tcW w:w="217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11- Intermediary -&gt; Cadillac</w:t>
            </w:r>
          </w:p>
        </w:tc>
        <w:tc>
          <w:tcPr>
            <w:tcW w:w="764"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1e-3</w:t>
            </w:r>
          </w:p>
        </w:tc>
        <w:tc>
          <w:tcPr>
            <w:tcW w:w="76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1e-3</w:t>
            </w:r>
          </w:p>
        </w:tc>
        <w:tc>
          <w:tcPr>
            <w:tcW w:w="76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1e-3</w:t>
            </w:r>
          </w:p>
        </w:tc>
        <w:tc>
          <w:tcPr>
            <w:tcW w:w="766"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1e-3</w:t>
            </w:r>
          </w:p>
        </w:tc>
      </w:tr>
      <w:tr>
        <w:trPr/>
        <w:tc>
          <w:tcPr>
            <w:tcW w:w="217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12- Cadillac -&gt; Langon</w:t>
            </w:r>
          </w:p>
        </w:tc>
        <w:tc>
          <w:tcPr>
            <w:tcW w:w="764"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1e-2</w:t>
            </w:r>
          </w:p>
        </w:tc>
        <w:tc>
          <w:tcPr>
            <w:tcW w:w="76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1e-2</w:t>
            </w:r>
          </w:p>
        </w:tc>
        <w:tc>
          <w:tcPr>
            <w:tcW w:w="76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1e-3</w:t>
            </w:r>
          </w:p>
        </w:tc>
        <w:tc>
          <w:tcPr>
            <w:tcW w:w="766"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1e-1</w:t>
            </w:r>
          </w:p>
        </w:tc>
      </w:tr>
      <w:tr>
        <w:trPr/>
        <w:tc>
          <w:tcPr>
            <w:tcW w:w="217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13- Langon -&gt; Castet/Dorthe</w:t>
            </w:r>
          </w:p>
        </w:tc>
        <w:tc>
          <w:tcPr>
            <w:tcW w:w="764"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76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1e-2</w:t>
            </w:r>
          </w:p>
        </w:tc>
        <w:tc>
          <w:tcPr>
            <w:tcW w:w="76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1e-2</w:t>
            </w:r>
          </w:p>
        </w:tc>
        <w:tc>
          <w:tcPr>
            <w:tcW w:w="766"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r>
      <w:tr>
        <w:trPr/>
        <w:tc>
          <w:tcPr>
            <w:tcW w:w="217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14- Castet/Dorthe -&gt; La Reole</w:t>
            </w:r>
          </w:p>
        </w:tc>
        <w:tc>
          <w:tcPr>
            <w:tcW w:w="764"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76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76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766"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r>
    </w:tbl>
    <w:p>
      <w:pPr>
        <w:pStyle w:val="Normal"/>
        <w:rPr>
          <w:rFonts w:ascii="Calibri" w:hAnsi="Calibri" w:eastAsia="Calibri" w:cs="Calibri"/>
        </w:rPr>
      </w:pPr>
      <w:r>
        <w:rPr>
          <w:rFonts w:eastAsia="Calibri" w:cs="Calibri" w:ascii="Calibri" w:hAnsi="Calibri"/>
        </w:rPr>
      </w:r>
    </w:p>
    <w:p>
      <w:pPr>
        <w:pStyle w:val="Normal"/>
        <w:rPr/>
      </w:pPr>
      <w:r>
        <w:rPr>
          <w:rFonts w:eastAsia="Calibri" w:cs="Calibri" w:ascii="Calibri" w:hAnsi="Calibri"/>
        </w:rPr>
        <w:t>Tableau 4: Tableau récapitulatif des valeurs de la rugosité () à chaque section pour différents  cas test.</w:t>
      </w:r>
    </w:p>
    <w:p>
      <w:pPr>
        <w:pStyle w:val="Normal"/>
        <w:jc w:val="both"/>
        <w:rPr>
          <w:rFonts w:ascii="Calibri" w:hAnsi="Calibri" w:eastAsia="Calibri" w:cs="Calibri"/>
        </w:rPr>
      </w:pPr>
      <w:r>
        <w:rPr>
          <w:rFonts w:eastAsia="Calibri" w:cs="Calibri" w:ascii="Calibri" w:hAnsi="Calibri"/>
        </w:rPr>
      </w:r>
    </w:p>
    <w:p>
      <w:pPr>
        <w:pStyle w:val="Heading3"/>
        <w:numPr>
          <w:ilvl w:val="2"/>
          <w:numId w:val="3"/>
        </w:numPr>
        <w:rPr/>
      </w:pPr>
      <w:bookmarkStart w:id="16" w:name="_Toc56526508"/>
      <w:r>
        <w:rPr/>
        <w:t>Courbe de tarage</w:t>
      </w:r>
      <w:bookmarkEnd w:id="16"/>
    </w:p>
    <w:p>
      <w:pPr>
        <w:pStyle w:val="Normal"/>
        <w:jc w:val="both"/>
        <w:rPr>
          <w:rFonts w:ascii="Calibri" w:hAnsi="Calibri" w:eastAsia="Calibri" w:cs="Calibri"/>
        </w:rPr>
      </w:pPr>
      <w:r>
        <w:rPr>
          <w:rFonts w:eastAsia="Calibri" w:cs="Calibri" w:ascii="Calibri" w:hAnsi="Calibri"/>
        </w:rPr>
      </w:r>
    </w:p>
    <w:p>
      <w:pPr>
        <w:pStyle w:val="Normal"/>
        <w:jc w:val="both"/>
        <w:rPr>
          <w:rFonts w:ascii="Calibri" w:hAnsi="Calibri" w:eastAsia="Calibri" w:cs="Calibri"/>
        </w:rPr>
      </w:pPr>
      <w:r>
        <w:rPr>
          <w:rFonts w:eastAsia="Calibri" w:cs="Calibri" w:ascii="Calibri" w:hAnsi="Calibri"/>
        </w:rPr>
        <w:t>Les courbes de tarages permettent de relier la hauteur de la surface libre fluviale, mesurée par le réseau hydrométrique de limnigraphes,  au débit. Ces courbes de tarages ne sont pertinentes qu’en dehors de la zone d’influence de la marée ou d’ouvrages de retenues. Pour un site donné, plusieurs courbes de tarages peuvent être utilisées en fonction du régime fluvial instantané (crue, étiage,  standard), notamment en raison des variations géométriques possiblement prononcées du lit fluvial dans ces différentes conditions. Ces courbes de tarage sont malheureusement peu documentées sur les sites nationaux des ministères concernés:</w:t>
      </w:r>
    </w:p>
    <w:p>
      <w:pPr>
        <w:pStyle w:val="Normal"/>
        <w:jc w:val="both"/>
        <w:rPr>
          <w:rFonts w:ascii="Calibri" w:hAnsi="Calibri" w:eastAsia="Calibri" w:cs="Calibri"/>
        </w:rPr>
      </w:pPr>
      <w:r>
        <w:rPr>
          <w:rFonts w:eastAsia="Calibri" w:cs="Calibri" w:ascii="Calibri" w:hAnsi="Calibri"/>
        </w:rPr>
      </w:r>
    </w:p>
    <w:p>
      <w:pPr>
        <w:pStyle w:val="Normal"/>
        <w:jc w:val="both"/>
        <w:rPr/>
      </w:pPr>
      <w:hyperlink r:id="rId10">
        <w:r>
          <w:rPr>
            <w:rStyle w:val="InternetLink"/>
            <w:rFonts w:eastAsia="Calibri" w:cs="Calibri" w:ascii="Calibri" w:hAnsi="Calibri"/>
          </w:rPr>
          <w:t>http://www.hydro.eaufrance.fr</w:t>
        </w:r>
      </w:hyperlink>
    </w:p>
    <w:p>
      <w:pPr>
        <w:pStyle w:val="Normal"/>
        <w:jc w:val="both"/>
        <w:rPr/>
      </w:pPr>
      <w:hyperlink r:id="rId11">
        <w:r>
          <w:rPr>
            <w:rStyle w:val="InternetLink"/>
            <w:rFonts w:eastAsia="Calibri" w:cs="Calibri" w:ascii="Calibri" w:hAnsi="Calibri"/>
          </w:rPr>
          <w:t>https://www.vigicrues.gouv.fr</w:t>
        </w:r>
      </w:hyperlink>
    </w:p>
    <w:p>
      <w:pPr>
        <w:pStyle w:val="Normal"/>
        <w:jc w:val="both"/>
        <w:rPr>
          <w:rFonts w:ascii="Calibri" w:hAnsi="Calibri" w:eastAsia="Calibri" w:cs="Calibri"/>
        </w:rPr>
      </w:pPr>
      <w:r>
        <w:rPr>
          <w:rFonts w:eastAsia="Calibri" w:cs="Calibri" w:ascii="Calibri" w:hAnsi="Calibri"/>
        </w:rPr>
      </w:r>
    </w:p>
    <w:p>
      <w:pPr>
        <w:pStyle w:val="Normal"/>
        <w:jc w:val="both"/>
        <w:rPr>
          <w:rFonts w:ascii="Calibri" w:hAnsi="Calibri" w:eastAsia="Calibri" w:cs="Calibri"/>
        </w:rPr>
      </w:pPr>
      <w:r>
        <w:rPr>
          <w:rFonts w:eastAsia="Calibri" w:cs="Calibri" w:ascii="Calibri" w:hAnsi="Calibri"/>
        </w:rPr>
      </w:r>
    </w:p>
    <w:p>
      <w:pPr>
        <w:pStyle w:val="Normal"/>
        <w:jc w:val="both"/>
        <w:rPr>
          <w:rFonts w:ascii="Calibri" w:hAnsi="Calibri" w:eastAsia="Calibri" w:cs="Calibri"/>
        </w:rPr>
      </w:pPr>
      <w:r>
        <w:rPr>
          <w:rFonts w:eastAsia="Calibri" w:cs="Calibri" w:ascii="Calibri" w:hAnsi="Calibri"/>
        </w:rPr>
        <w:t>Par la suite, nous nous sommes restreints en termes de vérifications au segment Garonne de l’estuaire amont. Pour des raisons de simplifications, nous avons utilisé la formulation en régime standard, fournie par les services de la DREAL Adour-Garonne:</w:t>
      </w:r>
    </w:p>
    <w:p>
      <w:pPr>
        <w:pStyle w:val="Normal"/>
        <w:jc w:val="both"/>
        <w:rPr>
          <w:rFonts w:ascii="Calibri" w:hAnsi="Calibri" w:eastAsia="Calibri" w:cs="Calibri"/>
        </w:rPr>
      </w:pPr>
      <w:r>
        <w:rPr>
          <w:rFonts w:eastAsia="Calibri" w:cs="Calibri" w:ascii="Calibri" w:hAnsi="Calibri"/>
        </w:rPr>
      </w:r>
    </w:p>
    <w:p>
      <w:pPr>
        <w:pStyle w:val="Normal"/>
        <w:jc w:val="center"/>
        <w:rPr>
          <w:rFonts w:ascii="Calibri" w:hAnsi="Calibri" w:eastAsia="Calibri" w:cs="Calibri"/>
        </w:rPr>
      </w:pPr>
      <w:r>
        <w:rPr/>
      </w:r>
      <m:oMath xmlns:m="http://schemas.openxmlformats.org/officeDocument/2006/math">
        <m:r>
          <w:rPr>
            <w:rFonts w:ascii="Cambria Math" w:hAnsi="Cambria Math"/>
          </w:rPr>
          <m:t xml:space="preserve">Q</m:t>
        </m:r>
        <m:r>
          <w:rPr>
            <w:rFonts w:ascii="Cambria Math" w:hAnsi="Cambria Math"/>
          </w:rPr>
          <m:t xml:space="preserve">=</m:t>
        </m:r>
        <m:r>
          <w:rPr>
            <w:rFonts w:ascii="Cambria Math" w:hAnsi="Cambria Math"/>
          </w:rPr>
          <m:t xml:space="preserve">a</m:t>
        </m:r>
        <m:sSup>
          <m:e>
            <m:d>
              <m:dPr>
                <m:begChr m:val="("/>
                <m:endChr m:val=")"/>
              </m:dPr>
              <m:e>
                <m:r>
                  <w:rPr>
                    <w:rFonts w:ascii="Cambria Math" w:hAnsi="Cambria Math"/>
                  </w:rPr>
                  <m:t xml:space="preserve">H</m:t>
                </m:r>
                <m:r>
                  <w:rPr>
                    <w:rFonts w:ascii="Cambria Math" w:hAnsi="Cambria Math"/>
                  </w:rPr>
                  <m:t xml:space="preserve">−</m:t>
                </m:r>
                <m:r>
                  <w:rPr>
                    <w:rFonts w:ascii="Cambria Math" w:hAnsi="Cambria Math"/>
                  </w:rPr>
                  <m:t xml:space="preserve">e</m:t>
                </m:r>
              </m:e>
            </m:d>
          </m:e>
          <m:sup>
            <m:r>
              <w:rPr>
                <w:rFonts w:ascii="Cambria Math" w:hAnsi="Cambria Math"/>
              </w:rPr>
              <m:t xml:space="preserve">b</m:t>
            </m:r>
          </m:sup>
        </m:sSup>
      </m:oMath>
    </w:p>
    <w:p>
      <w:pPr>
        <w:pStyle w:val="Normal"/>
        <w:jc w:val="both"/>
        <w:rPr>
          <w:rFonts w:ascii="Calibri" w:hAnsi="Calibri" w:eastAsia="Calibri" w:cs="Calibri"/>
        </w:rPr>
      </w:pPr>
      <w:r>
        <w:rPr>
          <w:rFonts w:eastAsia="Calibri" w:cs="Calibri" w:ascii="Calibri" w:hAnsi="Calibri"/>
        </w:rPr>
      </w:r>
    </w:p>
    <w:p>
      <w:pPr>
        <w:pStyle w:val="Normal"/>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jc w:val="both"/>
        <w:rPr/>
      </w:pPr>
      <w:r>
        <w:rPr>
          <w:rFonts w:eastAsia="Calibri" w:cs="Calibri" w:ascii="Calibri" w:hAnsi="Calibri"/>
        </w:rPr>
        <w:t xml:space="preserve">avec, pour La Réole,  </w:t>
      </w:r>
      <w:r>
        <w:rPr/>
      </w:r>
      <m:oMath xmlns:m="http://schemas.openxmlformats.org/officeDocument/2006/math">
        <m:r>
          <w:rPr>
            <w:rFonts w:ascii="Cambria Math" w:hAnsi="Cambria Math"/>
          </w:rPr>
          <m:t xml:space="preserve">a</m:t>
        </m:r>
        <m:r>
          <w:rPr>
            <w:rFonts w:ascii="Cambria Math" w:hAnsi="Cambria Math"/>
          </w:rPr>
          <m:t xml:space="preserve">=</m:t>
        </m:r>
        <m:r>
          <w:rPr>
            <w:rFonts w:ascii="Cambria Math" w:hAnsi="Cambria Math"/>
          </w:rPr>
          <m:t xml:space="preserve">0.0399322196515</m:t>
        </m:r>
      </m:oMath>
      <w:r>
        <w:rPr>
          <w:rFonts w:eastAsia="Calibri" w:cs="Calibri" w:ascii="Calibri" w:hAnsi="Calibri"/>
        </w:rPr>
        <w:t xml:space="preserve"> , </w:t>
      </w:r>
      <w:r>
        <w:rPr/>
      </w:r>
      <m:oMath xmlns:m="http://schemas.openxmlformats.org/officeDocument/2006/math">
        <m:r>
          <w:rPr>
            <w:rFonts w:ascii="Cambria Math" w:hAnsi="Cambria Math"/>
          </w:rPr>
          <m:t xml:space="preserve">b</m:t>
        </m:r>
        <m:r>
          <w:rPr>
            <w:rFonts w:ascii="Cambria Math" w:hAnsi="Cambria Math"/>
          </w:rPr>
          <m:t xml:space="preserve">=</m:t>
        </m:r>
        <m:r>
          <w:rPr>
            <w:rFonts w:ascii="Cambria Math" w:hAnsi="Cambria Math"/>
          </w:rPr>
          <m:t xml:space="preserve">1.67552668927</m:t>
        </m:r>
      </m:oMath>
      <w:r>
        <w:rPr>
          <w:rFonts w:eastAsia="Calibri" w:cs="Calibri" w:ascii="Calibri" w:hAnsi="Calibri"/>
        </w:rPr>
        <w:t xml:space="preserve"> et  </w:t>
      </w:r>
      <w:r>
        <w:rPr/>
      </w:r>
      <m:oMath xmlns:m="http://schemas.openxmlformats.org/officeDocument/2006/math">
        <m:r>
          <w:rPr>
            <w:rFonts w:ascii="Cambria Math" w:hAnsi="Cambria Math"/>
          </w:rPr>
          <m:t xml:space="preserve">e</m:t>
        </m:r>
        <m:r>
          <w:rPr>
            <w:rFonts w:ascii="Cambria Math" w:hAnsi="Cambria Math"/>
          </w:rPr>
          <m:t xml:space="preserve">=</m:t>
        </m:r>
        <m:r>
          <w:rPr>
            <w:rFonts w:ascii="Cambria Math" w:hAnsi="Cambria Math"/>
          </w:rPr>
          <m:t xml:space="preserve">−</m:t>
        </m:r>
        <m:r>
          <w:rPr>
            <w:rFonts w:ascii="Cambria Math" w:hAnsi="Cambria Math"/>
          </w:rPr>
          <m:t xml:space="preserve">245.981529153</m:t>
        </m:r>
      </m:oMath>
      <w:r>
        <w:rPr>
          <w:rFonts w:eastAsia="Calibri" w:cs="Calibri" w:ascii="Calibri" w:hAnsi="Calibri"/>
        </w:rPr>
        <w:t>. H est la hauteur de la surface libre mesurée au-dessus du géoïde RGF93/IGN69 (en centimètre) et Q le débit en m</w:t>
      </w:r>
      <w:r>
        <w:rPr>
          <w:rFonts w:eastAsia="Calibri" w:cs="Calibri" w:ascii="Calibri" w:hAnsi="Calibri"/>
          <w:vertAlign w:val="superscript"/>
        </w:rPr>
        <w:t>3</w:t>
      </w:r>
      <w:r>
        <w:rPr>
          <w:rFonts w:eastAsia="Calibri" w:cs="Calibri" w:ascii="Calibri" w:hAnsi="Calibri"/>
        </w:rPr>
        <w:t>/s.</w:t>
      </w:r>
    </w:p>
    <w:p>
      <w:pPr>
        <w:pStyle w:val="Normal"/>
        <w:jc w:val="both"/>
        <w:rPr>
          <w:rFonts w:ascii="Calibri" w:hAnsi="Calibri" w:eastAsia="Calibri" w:cs="Calibri"/>
        </w:rPr>
      </w:pPr>
      <w:r>
        <w:rPr>
          <w:rFonts w:eastAsia="Calibri" w:cs="Calibri" w:ascii="Calibri" w:hAnsi="Calibri"/>
        </w:rPr>
      </w:r>
    </w:p>
    <w:p>
      <w:pPr>
        <w:pStyle w:val="Normal"/>
        <w:jc w:val="both"/>
        <w:rPr>
          <w:rFonts w:ascii="Calibri" w:hAnsi="Calibri" w:eastAsia="Calibri" w:cs="Calibri"/>
        </w:rPr>
      </w:pPr>
      <w:r>
        <w:rPr/>
        <w:commentReference w:id="0"/>
      </w:r>
    </w:p>
    <w:p>
      <w:pPr>
        <w:pStyle w:val="Normal"/>
        <w:jc w:val="center"/>
        <w:rPr/>
      </w:pPr>
      <w:r>
        <w:rPr/>
      </w:r>
    </w:p>
    <w:p>
      <w:pPr>
        <w:pStyle w:val="Normal"/>
        <w:jc w:val="center"/>
        <w:rPr/>
      </w:pPr>
      <w:r>
        <w:rPr/>
        <w:drawing>
          <wp:inline distT="0" distB="0" distL="0" distR="0">
            <wp:extent cx="5731510" cy="3423920"/>
            <wp:effectExtent l="0" t="0" r="0" b="0"/>
            <wp:docPr id="8"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descr=""/>
                    <pic:cNvPicPr>
                      <a:picLocks noChangeAspect="1" noChangeArrowheads="1"/>
                    </pic:cNvPicPr>
                  </pic:nvPicPr>
                  <pic:blipFill>
                    <a:blip r:embed="rId12"/>
                    <a:stretch>
                      <a:fillRect/>
                    </a:stretch>
                  </pic:blipFill>
                  <pic:spPr bwMode="auto">
                    <a:xfrm>
                      <a:off x="0" y="0"/>
                      <a:ext cx="5731510" cy="3423920"/>
                    </a:xfrm>
                    <a:prstGeom prst="rect">
                      <a:avLst/>
                    </a:prstGeom>
                  </pic:spPr>
                </pic:pic>
              </a:graphicData>
            </a:graphic>
          </wp:inline>
        </w:drawing>
      </w:r>
    </w:p>
    <w:p>
      <w:pPr>
        <w:pStyle w:val="Caption1"/>
        <w:spacing w:before="0" w:after="0"/>
        <w:jc w:val="center"/>
        <w:rPr/>
      </w:pPr>
      <w:bookmarkStart w:id="17" w:name="Ref_Figure6_label_and_number1"/>
      <w:r>
        <w:rPr>
          <w:color w:val="auto"/>
        </w:rPr>
        <w:t xml:space="preserve">Figure </w:t>
      </w:r>
      <w:r>
        <w:rPr>
          <w:color w:val="auto"/>
        </w:rPr>
        <w:fldChar w:fldCharType="begin"/>
      </w:r>
      <w:r>
        <w:rPr>
          <w:color w:val="auto"/>
        </w:rPr>
        <w:instrText> SEQ Figure \* ARABIC </w:instrText>
      </w:r>
      <w:r>
        <w:rPr>
          <w:color w:val="auto"/>
        </w:rPr>
        <w:fldChar w:fldCharType="separate"/>
      </w:r>
      <w:r>
        <w:rPr>
          <w:color w:val="auto"/>
        </w:rPr>
        <w:t>7</w:t>
      </w:r>
      <w:r>
        <w:rPr>
          <w:color w:val="auto"/>
        </w:rPr>
        <w:fldChar w:fldCharType="end"/>
      </w:r>
      <w:bookmarkEnd w:id="17"/>
      <w:r>
        <w:rPr>
          <w:color w:val="auto"/>
        </w:rPr>
        <w:t> : données de débit de 2016 à La Réole</w:t>
      </w:r>
    </w:p>
    <w:p>
      <w:pPr>
        <w:pStyle w:val="NormalWeb"/>
        <w:spacing w:before="0" w:after="0"/>
        <w:rPr/>
      </w:pPr>
      <w:r>
        <w:rPr/>
        <w:drawing>
          <wp:inline distT="0" distB="0" distL="0" distR="0">
            <wp:extent cx="5736590" cy="4735195"/>
            <wp:effectExtent l="0" t="0" r="0" b="0"/>
            <wp:docPr id="9" name="Image 17" descr="https://lh6.googleusercontent.com/Q43r46WPgGEvzJJVRBt7_WCd9e9oDF5nUrnQa1DxhurG8rqBCw0Ob2GLeB2LY6xKo35oRUTTJxsW3m033ty8Kwz_VXzlBsnX1mduCe6bAIv5NO8BNn47EKsVG1yg09YhklvM8Rq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7" descr="https://lh6.googleusercontent.com/Q43r46WPgGEvzJJVRBt7_WCd9e9oDF5nUrnQa1DxhurG8rqBCw0Ob2GLeB2LY6xKo35oRUTTJxsW3m033ty8Kwz_VXzlBsnX1mduCe6bAIv5NO8BNn47EKsVG1yg09YhklvM8Rqx"/>
                    <pic:cNvPicPr>
                      <a:picLocks noChangeAspect="1" noChangeArrowheads="1"/>
                    </pic:cNvPicPr>
                  </pic:nvPicPr>
                  <pic:blipFill>
                    <a:blip r:embed="rId13"/>
                    <a:stretch>
                      <a:fillRect/>
                    </a:stretch>
                  </pic:blipFill>
                  <pic:spPr bwMode="auto">
                    <a:xfrm>
                      <a:off x="0" y="0"/>
                      <a:ext cx="5736590" cy="4735195"/>
                    </a:xfrm>
                    <a:prstGeom prst="rect">
                      <a:avLst/>
                    </a:prstGeom>
                  </pic:spPr>
                </pic:pic>
              </a:graphicData>
            </a:graphic>
          </wp:inline>
        </w:drawing>
      </w:r>
    </w:p>
    <w:p>
      <w:pPr>
        <w:pStyle w:val="Caption1"/>
        <w:jc w:val="center"/>
        <w:rPr/>
      </w:pPr>
      <w:bookmarkStart w:id="18" w:name="Ref_Figure6_label_and_number"/>
      <w:r>
        <w:rPr>
          <w:color w:val="auto"/>
        </w:rPr>
        <w:t xml:space="preserve">Figure </w:t>
      </w:r>
      <w:r>
        <w:rPr>
          <w:color w:val="auto"/>
        </w:rPr>
        <w:fldChar w:fldCharType="begin"/>
      </w:r>
      <w:r>
        <w:rPr>
          <w:color w:val="auto"/>
        </w:rPr>
        <w:instrText> SEQ Figure \* ARABIC </w:instrText>
      </w:r>
      <w:r>
        <w:rPr>
          <w:color w:val="auto"/>
        </w:rPr>
        <w:fldChar w:fldCharType="separate"/>
      </w:r>
      <w:r>
        <w:rPr>
          <w:color w:val="auto"/>
        </w:rPr>
        <w:t>8</w:t>
      </w:r>
      <w:r>
        <w:rPr>
          <w:color w:val="auto"/>
        </w:rPr>
        <w:fldChar w:fldCharType="end"/>
      </w:r>
      <w:bookmarkEnd w:id="18"/>
      <w:r>
        <w:rPr>
          <w:color w:val="auto"/>
        </w:rPr>
        <w:t> : courbe de tarage standard à La Réole et données de débit de 2016</w:t>
      </w:r>
    </w:p>
    <w:p>
      <w:pPr>
        <w:pStyle w:val="Normal"/>
        <w:jc w:val="both"/>
        <w:rPr>
          <w:rFonts w:ascii="Calibri" w:hAnsi="Calibri" w:eastAsia="Calibri" w:cs="Calibri"/>
        </w:rPr>
      </w:pPr>
      <w:r>
        <w:rPr>
          <w:rFonts w:eastAsia="Calibri" w:cs="Calibri" w:ascii="Calibri" w:hAnsi="Calibri"/>
        </w:rPr>
      </w:r>
    </w:p>
    <w:p>
      <w:pPr>
        <w:pStyle w:val="Heading3"/>
        <w:numPr>
          <w:ilvl w:val="2"/>
          <w:numId w:val="3"/>
        </w:numPr>
        <w:rPr/>
      </w:pPr>
      <w:r>
        <w:rPr/>
        <w:t>Développement numérique d’une rivière à débit constant</w:t>
      </w:r>
    </w:p>
    <w:p>
      <w:pPr>
        <w:pStyle w:val="Normal"/>
        <w:rPr/>
      </w:pPr>
      <w:r>
        <w:rPr/>
      </w:r>
    </w:p>
    <w:p>
      <w:pPr>
        <w:pStyle w:val="Normal"/>
        <w:jc w:val="both"/>
        <w:rPr/>
      </w:pPr>
      <w:r>
        <w:rPr>
          <w:rFonts w:eastAsia="Calibri" w:cs="Calibri" w:ascii="Calibri" w:hAnsi="Calibri"/>
        </w:rPr>
        <w:t>Dans ce qui suit, nous développons un modèle simple, semi-linéaire, analytique et numérique, afin d'illustrer le comportement dynamique de la rivière à débit constant. Le modèle est limité dans la dimension x-z, en supposant une forme rectangulaire et uniforme le long de la rivière.</w:t>
      </w:r>
    </w:p>
    <w:p>
      <w:pPr>
        <w:pStyle w:val="Normal"/>
        <w:jc w:val="both"/>
        <w:rPr>
          <w:rFonts w:ascii="Calibri" w:hAnsi="Calibri" w:eastAsia="Calibri" w:cs="Calibri"/>
        </w:rPr>
      </w:pPr>
      <w:r>
        <w:rPr>
          <w:rFonts w:eastAsia="Calibri" w:cs="Calibri" w:ascii="Calibri" w:hAnsi="Calibri"/>
        </w:rPr>
      </w:r>
    </w:p>
    <w:p>
      <w:pPr>
        <w:pStyle w:val="Normal"/>
        <w:jc w:val="both"/>
        <w:rPr/>
      </w:pPr>
      <w:r>
        <w:rPr>
          <w:rFonts w:eastAsia="Calibri" w:cs="Calibri" w:ascii="Calibri" w:hAnsi="Calibri"/>
        </w:rPr>
        <w:t>En partant d'équations simplifiées pour les eaux peu profondes :</w:t>
      </w:r>
    </w:p>
    <w:p>
      <w:pPr>
        <w:pStyle w:val="Normal"/>
        <w:jc w:val="both"/>
        <w:rPr>
          <w:rFonts w:ascii="Calibri" w:hAnsi="Calibri" w:eastAsia="Calibri" w:cs="Calibri"/>
        </w:rPr>
      </w:pPr>
      <w:r>
        <w:rPr>
          <w:rFonts w:eastAsia="Calibri" w:cs="Calibri" w:ascii="Calibri" w:hAnsi="Calibri"/>
        </w:rPr>
      </w:r>
    </w:p>
    <w:p>
      <w:pPr>
        <w:pStyle w:val="Normal"/>
        <w:jc w:val="center"/>
        <w:rPr/>
      </w:pPr>
      <w:r>
        <w:rPr/>
      </w:r>
      <m:oMath xmlns:m="http://schemas.openxmlformats.org/officeDocument/2006/math">
        <m:f>
          <m:num>
            <m:r>
              <w:rPr>
                <w:rFonts w:ascii="Cambria Math" w:hAnsi="Cambria Math"/>
              </w:rPr>
              <m:t xml:space="preserve">∂</m:t>
            </m:r>
            <m:r>
              <w:rPr>
                <w:rFonts w:ascii="Cambria Math" w:hAnsi="Cambria Math"/>
              </w:rPr>
              <m:t xml:space="preserve">η</m:t>
            </m:r>
          </m:num>
          <m:den>
            <m:r>
              <w:rPr>
                <w:rFonts w:ascii="Cambria Math" w:hAnsi="Cambria Math"/>
              </w:rPr>
              <m:t xml:space="preserve">∂</m:t>
            </m:r>
            <m:r>
              <w:rPr>
                <w:rFonts w:ascii="Cambria Math" w:hAnsi="Cambria Math"/>
              </w:rPr>
              <m:t xml:space="preserve">t</m:t>
            </m:r>
          </m:den>
        </m:f>
        <m:r>
          <w:rPr>
            <w:rFonts w:ascii="Cambria Math" w:hAnsi="Cambria Math"/>
          </w:rPr>
          <m:t xml:space="preserve">+</m:t>
        </m:r>
        <m:f>
          <m:num>
            <m:r>
              <w:rPr>
                <w:rFonts w:ascii="Cambria Math" w:hAnsi="Cambria Math"/>
              </w:rPr>
              <m:t xml:space="preserve">∂</m:t>
            </m:r>
            <m:r>
              <w:rPr>
                <w:rFonts w:ascii="Cambria Math" w:hAnsi="Cambria Math"/>
              </w:rPr>
              <m:t xml:space="preserve">Hu</m:t>
            </m:r>
          </m:num>
          <m:den>
            <m:r>
              <w:rPr>
                <w:rFonts w:ascii="Cambria Math" w:hAnsi="Cambria Math"/>
              </w:rPr>
              <m:t xml:space="preserve">∂</m:t>
            </m:r>
            <m:r>
              <w:rPr>
                <w:rFonts w:ascii="Cambria Math" w:hAnsi="Cambria Math"/>
              </w:rPr>
              <m:t xml:space="preserve">x</m:t>
            </m:r>
          </m:den>
        </m:f>
        <m:r>
          <w:rPr>
            <w:rFonts w:ascii="Cambria Math" w:hAnsi="Cambria Math"/>
          </w:rPr>
          <m:t xml:space="preserve">=</m:t>
        </m:r>
        <m:r>
          <w:rPr>
            <w:rFonts w:ascii="Cambria Math" w:hAnsi="Cambria Math"/>
          </w:rPr>
          <m:t xml:space="preserve">0</m:t>
        </m:r>
      </m:oMath>
    </w:p>
    <w:p>
      <w:pPr>
        <w:pStyle w:val="Normal"/>
        <w:jc w:val="center"/>
        <w:rPr>
          <w:rFonts w:ascii="Cambria Math" w:hAnsi="Cambria Math" w:eastAsia="Cambria Math" w:cs="Cambria Math"/>
        </w:rPr>
      </w:pPr>
      <w:r>
        <w:rPr>
          <w:rFonts w:eastAsia="Cambria Math" w:cs="Cambria Math" w:ascii="Cambria Math" w:hAnsi="Cambria Math"/>
        </w:rPr>
      </w:r>
    </w:p>
    <w:p>
      <w:pPr>
        <w:pStyle w:val="Normal"/>
        <w:jc w:val="both"/>
        <w:rPr/>
      </w:pPr>
      <w:r>
        <w:rPr>
          <w:rFonts w:eastAsia="Calibri" w:cs="Calibri" w:ascii="Calibri" w:hAnsi="Calibri"/>
        </w:rPr>
        <w:t xml:space="preserve">où H est l'épaisseur de la colonne d'eau (profondeur instantanée), u la vitesse moyenne du fleuve en profondeur et </w:t>
      </w:r>
      <w:r>
        <w:rPr/>
      </w:r>
      <m:oMath xmlns:m="http://schemas.openxmlformats.org/officeDocument/2006/math">
        <m:r>
          <w:rPr>
            <w:rFonts w:ascii="Cambria Math" w:hAnsi="Cambria Math"/>
          </w:rPr>
          <m:t xml:space="preserve">η</m:t>
        </m:r>
      </m:oMath>
      <w:r>
        <w:rPr>
          <w:rFonts w:eastAsia="Calibri" w:cs="Calibri" w:ascii="Calibri" w:hAnsi="Calibri"/>
        </w:rPr>
        <w:t xml:space="preserve"> la surface libre de la rivière : </w:t>
      </w:r>
    </w:p>
    <w:p>
      <w:pPr>
        <w:pStyle w:val="Normal"/>
        <w:jc w:val="center"/>
        <w:rPr/>
      </w:pPr>
      <w:r>
        <w:rPr/>
      </w:r>
      <m:oMath xmlns:m="http://schemas.openxmlformats.org/officeDocument/2006/math">
        <m:r>
          <w:rPr>
            <w:rFonts w:ascii="Cambria Math" w:hAnsi="Cambria Math"/>
          </w:rPr>
          <m:t xml:space="preserve">η</m:t>
        </m:r>
        <m:r>
          <w:rPr>
            <w:rFonts w:ascii="Cambria Math" w:hAnsi="Cambria Math"/>
          </w:rPr>
          <m:t xml:space="preserve">=</m:t>
        </m:r>
        <m:r>
          <w:rPr>
            <w:rFonts w:ascii="Cambria Math" w:hAnsi="Cambria Math"/>
          </w:rPr>
          <m:t xml:space="preserve">H</m:t>
        </m:r>
        <m:r>
          <w:rPr>
            <w:rFonts w:ascii="Cambria Math" w:hAnsi="Cambria Math"/>
          </w:rPr>
          <m:t xml:space="preserve">+</m:t>
        </m:r>
        <m:r>
          <w:rPr>
            <w:rFonts w:ascii="Cambria Math" w:hAnsi="Cambria Math"/>
          </w:rPr>
          <m:t xml:space="preserve">b</m:t>
        </m:r>
      </m:oMath>
    </w:p>
    <w:p>
      <w:pPr>
        <w:pStyle w:val="Normal"/>
        <w:jc w:val="center"/>
        <w:rPr>
          <w:rFonts w:ascii="Cambria Math" w:hAnsi="Cambria Math" w:eastAsia="Cambria Math" w:cs="Cambria Math"/>
        </w:rPr>
      </w:pPr>
      <w:r>
        <w:rPr>
          <w:rFonts w:eastAsia="Cambria Math" w:cs="Cambria Math" w:ascii="Cambria Math" w:hAnsi="Cambria Math"/>
        </w:rPr>
      </w:r>
    </w:p>
    <w:p>
      <w:pPr>
        <w:pStyle w:val="Normal"/>
        <w:jc w:val="both"/>
        <w:rPr/>
      </w:pPr>
      <w:r>
        <w:rPr>
          <w:rFonts w:eastAsia="Cambria Math" w:cs="Cambria Math" w:ascii="Cambria Math" w:hAnsi="Cambria Math"/>
        </w:rPr>
        <w:t xml:space="preserve">où </w:t>
      </w:r>
      <w:r>
        <w:rPr>
          <w:rFonts w:eastAsia="Cambria Math" w:cs="Cambria Math" w:ascii="Cambria Math" w:hAnsi="Cambria Math"/>
          <w:i/>
        </w:rPr>
        <w:t xml:space="preserve">b est </w:t>
      </w:r>
      <w:r>
        <w:rPr>
          <w:rFonts w:eastAsia="Cambria Math" w:cs="Cambria Math" w:ascii="Cambria Math" w:hAnsi="Cambria Math"/>
        </w:rPr>
        <w:t xml:space="preserve">l'altitude (élévation au-dessus de l'état de repos géoïde) du lit de la rivière. </w:t>
      </w:r>
      <w:r>
        <w:rPr/>
      </w:r>
      <m:oMath xmlns:m="http://schemas.openxmlformats.org/officeDocument/2006/math">
        <m:sSub>
          <m:e>
            <m:r>
              <w:rPr>
                <w:rFonts w:ascii="Cambria Math" w:hAnsi="Cambria Math"/>
              </w:rPr>
              <m:t xml:space="preserve">C</m:t>
            </m:r>
          </m:e>
          <m:sub>
            <m:r>
              <w:rPr>
                <w:rFonts w:ascii="Cambria Math" w:hAnsi="Cambria Math"/>
              </w:rPr>
              <m:t xml:space="preserve">d</m:t>
            </m:r>
          </m:sub>
        </m:sSub>
      </m:oMath>
      <w:r>
        <w:rPr>
          <w:rFonts w:eastAsia="Calibri" w:cs="Calibri" w:ascii="Calibri" w:hAnsi="Calibri"/>
        </w:rPr>
        <w:t xml:space="preserve"> est le coefficient de frottement sans dimension. Il peut être lié à la longueur équivalente de rugosité du fond </w:t>
      </w:r>
      <w:r>
        <w:rPr>
          <w:rFonts w:eastAsia="Calibri" w:cs="Calibri" w:ascii="Calibri" w:hAnsi="Calibri"/>
          <w:i/>
        </w:rPr>
        <w:t xml:space="preserve">z0 </w:t>
      </w:r>
      <w:r>
        <w:rPr>
          <w:rFonts w:eastAsia="Calibri" w:cs="Calibri" w:ascii="Calibri" w:hAnsi="Calibri"/>
        </w:rPr>
        <w:t>par :</w:t>
      </w:r>
    </w:p>
    <w:p>
      <w:pPr>
        <w:pStyle w:val="Normal"/>
        <w:jc w:val="both"/>
        <w:rPr>
          <w:rFonts w:ascii="Calibri" w:hAnsi="Calibri" w:eastAsia="Calibri" w:cs="Calibri"/>
        </w:rPr>
      </w:pPr>
      <w:r>
        <w:rPr>
          <w:rFonts w:eastAsia="Calibri" w:cs="Calibri" w:ascii="Calibri" w:hAnsi="Calibri"/>
        </w:rPr>
      </w:r>
    </w:p>
    <w:p>
      <w:pPr>
        <w:pStyle w:val="Normal"/>
        <w:jc w:val="both"/>
        <w:rPr/>
      </w:pPr>
      <w:r>
        <w:rPr/>
      </w:r>
      <m:oMath xmlns:m="http://schemas.openxmlformats.org/officeDocument/2006/math">
        <m:sSub>
          <m:e>
            <m:r>
              <w:rPr>
                <w:rFonts w:ascii="Cambria Math" w:hAnsi="Cambria Math"/>
              </w:rPr>
              <m:t xml:space="preserve">C</m:t>
            </m:r>
          </m:e>
          <m:sub>
            <m:r>
              <w:rPr>
                <w:rFonts w:ascii="Cambria Math" w:hAnsi="Cambria Math"/>
              </w:rPr>
              <m:t xml:space="preserve">d</m:t>
            </m:r>
          </m:sub>
        </m:sSub>
        <m:r>
          <w:rPr>
            <w:rFonts w:ascii="Cambria Math" w:hAnsi="Cambria Math"/>
          </w:rPr>
          <m:t xml:space="preserve">=</m:t>
        </m:r>
        <m:sSup>
          <m:e>
            <m:r>
              <w:rPr>
                <w:rFonts w:ascii="Cambria Math" w:hAnsi="Cambria Math"/>
              </w:rPr>
              <m:t xml:space="preserve">κ</m:t>
            </m:r>
          </m:e>
          <m:sup>
            <m:r>
              <w:rPr>
                <w:rFonts w:ascii="Cambria Math" w:hAnsi="Cambria Math"/>
              </w:rPr>
              <m:t xml:space="preserve">2</m:t>
            </m:r>
          </m:sup>
        </m:sSup>
        <m:sSup>
          <m:e>
            <m:d>
              <m:dPr>
                <m:begChr m:val="("/>
                <m:endChr m:val=")"/>
              </m:dPr>
              <m:e>
                <m:r>
                  <w:rPr>
                    <w:rFonts w:ascii="Cambria Math" w:hAnsi="Cambria Math"/>
                  </w:rPr>
                  <m:t xml:space="preserve">log</m:t>
                </m:r>
                <m:d>
                  <m:dPr>
                    <m:begChr m:val="("/>
                    <m:endChr m:val=")"/>
                  </m:dPr>
                  <m:e>
                    <m:f>
                      <m:num>
                        <m:r>
                          <w:rPr>
                            <w:rFonts w:ascii="Cambria Math" w:hAnsi="Cambria Math"/>
                          </w:rPr>
                          <m:t xml:space="preserve">H</m:t>
                        </m:r>
                      </m:num>
                      <m:den>
                        <m:sSub>
                          <m:e>
                            <m:r>
                              <w:rPr>
                                <w:rFonts w:ascii="Cambria Math" w:hAnsi="Cambria Math"/>
                              </w:rPr>
                              <m:t xml:space="preserve">z</m:t>
                            </m:r>
                          </m:e>
                          <m:sub>
                            <m:r>
                              <w:rPr>
                                <w:rFonts w:ascii="Cambria Math" w:hAnsi="Cambria Math"/>
                              </w:rPr>
                              <m:t xml:space="preserve">0</m:t>
                            </m:r>
                          </m:sub>
                        </m:sSub>
                      </m:den>
                    </m:f>
                  </m:e>
                </m:d>
                <m:r>
                  <w:rPr>
                    <w:rFonts w:ascii="Cambria Math" w:hAnsi="Cambria Math"/>
                  </w:rPr>
                  <m:t xml:space="preserve">−</m:t>
                </m:r>
                <m:r>
                  <w:rPr>
                    <w:rFonts w:ascii="Cambria Math" w:hAnsi="Cambria Math"/>
                  </w:rPr>
                  <m:t xml:space="preserve">1</m:t>
                </m:r>
              </m:e>
            </m:d>
          </m:e>
          <m:sup>
            <m:r>
              <w:rPr>
                <w:rFonts w:ascii="Cambria Math" w:hAnsi="Cambria Math"/>
              </w:rPr>
              <m:t xml:space="preserve">−</m:t>
            </m:r>
            <m:r>
              <w:rPr>
                <w:rFonts w:ascii="Cambria Math" w:hAnsi="Cambria Math"/>
              </w:rPr>
              <m:t xml:space="preserve">2</m:t>
            </m:r>
          </m:sup>
        </m:sSup>
      </m:oMath>
    </w:p>
    <w:p>
      <w:pPr>
        <w:pStyle w:val="Normal"/>
        <w:jc w:val="both"/>
        <w:rPr>
          <w:rFonts w:ascii="Calibri" w:hAnsi="Calibri" w:eastAsia="Calibri" w:cs="Calibri"/>
        </w:rPr>
      </w:pPr>
      <w:r>
        <w:rPr>
          <w:rFonts w:eastAsia="Calibri" w:cs="Calibri" w:ascii="Calibri" w:hAnsi="Calibri"/>
        </w:rPr>
      </w:r>
    </w:p>
    <w:p>
      <w:pPr>
        <w:pStyle w:val="Normal"/>
        <w:jc w:val="both"/>
        <w:rPr/>
      </w:pPr>
      <w:r>
        <w:rPr>
          <w:rFonts w:eastAsia="Calibri" w:cs="Calibri" w:ascii="Calibri" w:hAnsi="Calibri"/>
        </w:rPr>
        <w:t xml:space="preserve">où </w:t>
      </w:r>
      <w:r>
        <w:rPr/>
      </w:r>
      <m:oMath xmlns:m="http://schemas.openxmlformats.org/officeDocument/2006/math">
        <m:r>
          <w:rPr>
            <w:rFonts w:ascii="Cambria Math" w:hAnsi="Cambria Math"/>
          </w:rPr>
          <m:t xml:space="preserve">κ</m:t>
        </m:r>
        <m:r>
          <w:rPr>
            <w:rFonts w:ascii="Cambria Math" w:hAnsi="Cambria Math"/>
          </w:rPr>
          <m:t xml:space="preserve">=</m:t>
        </m:r>
        <m:r>
          <w:rPr>
            <w:rFonts w:ascii="Cambria Math" w:hAnsi="Cambria Math"/>
          </w:rPr>
          <m:t xml:space="preserve">0.4</m:t>
        </m:r>
      </m:oMath>
      <w:r>
        <w:rPr>
          <w:rFonts w:eastAsia="Calibri" w:cs="Calibri" w:ascii="Calibri" w:hAnsi="Calibri"/>
        </w:rPr>
        <w:t xml:space="preserve">  est la constante de Von Karman. Cette formulation suppose un profil u logarithmique (d'où un coefficient de diffusion linéaire "distance du fond") et des conditions d'écoulement régulier, ce qui est tout à fait cohérent avec le cadre de nos développements. Nous pouvons tout d'abord simplifier les équations pour un écoulement stable en eau peu profonde :</w:t>
      </w:r>
    </w:p>
    <w:p>
      <w:pPr>
        <w:pStyle w:val="Normal"/>
        <w:rPr/>
      </w:pPr>
      <w:r>
        <w:rPr/>
      </w:r>
    </w:p>
    <w:p>
      <w:pPr>
        <w:pStyle w:val="Normal"/>
        <w:jc w:val="center"/>
        <w:rPr/>
      </w:pPr>
      <w:r>
        <w:rPr/>
      </w:r>
      <m:oMath xmlns:m="http://schemas.openxmlformats.org/officeDocument/2006/math">
        <m:r>
          <w:rPr>
            <w:rFonts w:ascii="Cambria Math" w:hAnsi="Cambria Math"/>
          </w:rPr>
          <m:t xml:space="preserve">u</m:t>
        </m:r>
        <m:f>
          <m:num>
            <m:r>
              <w:rPr>
                <w:rFonts w:ascii="Cambria Math" w:hAnsi="Cambria Math"/>
              </w:rPr>
              <m:t xml:space="preserve">∂</m:t>
            </m:r>
            <m:r>
              <w:rPr>
                <w:rFonts w:ascii="Cambria Math" w:hAnsi="Cambria Math"/>
              </w:rPr>
              <m:t xml:space="preserve">u</m:t>
            </m:r>
          </m:num>
          <m:den>
            <m:r>
              <w:rPr>
                <w:rFonts w:ascii="Cambria Math" w:hAnsi="Cambria Math"/>
              </w:rPr>
              <m:t xml:space="preserve">∂</m:t>
            </m:r>
            <m:r>
              <w:rPr>
                <w:rFonts w:ascii="Cambria Math" w:hAnsi="Cambria Math"/>
              </w:rPr>
              <m:t xml:space="preserve">x</m:t>
            </m:r>
          </m:den>
        </m:f>
        <m:r>
          <w:rPr>
            <w:rFonts w:ascii="Cambria Math" w:hAnsi="Cambria Math"/>
          </w:rPr>
          <m:t xml:space="preserve">=</m:t>
        </m:r>
        <m:r>
          <w:rPr>
            <w:rFonts w:ascii="Cambria Math" w:hAnsi="Cambria Math"/>
          </w:rPr>
          <m:t xml:space="preserve">−</m:t>
        </m:r>
        <m:r>
          <w:rPr>
            <w:rFonts w:ascii="Cambria Math" w:hAnsi="Cambria Math"/>
          </w:rPr>
          <m:t xml:space="preserve">g</m:t>
        </m:r>
        <m:f>
          <m:num>
            <m:r>
              <w:rPr>
                <w:rFonts w:ascii="Cambria Math" w:hAnsi="Cambria Math"/>
              </w:rPr>
              <m:t xml:space="preserve">∂</m:t>
            </m:r>
            <m:r>
              <w:rPr>
                <w:rFonts w:ascii="Cambria Math" w:hAnsi="Cambria Math"/>
              </w:rPr>
              <m:t xml:space="preserve">η</m:t>
            </m:r>
          </m:num>
          <m:den>
            <m:r>
              <w:rPr>
                <w:rFonts w:ascii="Cambria Math" w:hAnsi="Cambria Math"/>
              </w:rPr>
              <m:t xml:space="preserve">∂</m:t>
            </m:r>
            <m:r>
              <w:rPr>
                <w:rFonts w:ascii="Cambria Math" w:hAnsi="Cambria Math"/>
              </w:rPr>
              <m:t xml:space="preserve">x</m:t>
            </m:r>
          </m:den>
        </m:f>
        <m:r>
          <w:rPr>
            <w:rFonts w:ascii="Cambria Math" w:hAnsi="Cambria Math"/>
          </w:rPr>
          <m:t xml:space="preserve">−</m:t>
        </m:r>
        <m:f>
          <m:num>
            <m:sSub>
              <m:e>
                <m:r>
                  <w:rPr>
                    <w:rFonts w:ascii="Cambria Math" w:hAnsi="Cambria Math"/>
                  </w:rPr>
                  <m:t xml:space="preserve">C</m:t>
                </m:r>
              </m:e>
              <m:sub>
                <m:r>
                  <w:rPr>
                    <w:rFonts w:ascii="Cambria Math" w:hAnsi="Cambria Math"/>
                  </w:rPr>
                  <m:t xml:space="preserve">d</m:t>
                </m:r>
              </m:sub>
            </m:sSub>
          </m:num>
          <m:den>
            <m:r>
              <w:rPr>
                <w:rFonts w:ascii="Cambria Math" w:hAnsi="Cambria Math"/>
              </w:rPr>
              <m:t xml:space="preserve">H</m:t>
            </m:r>
          </m:den>
        </m:f>
        <m:d>
          <m:dPr>
            <m:begChr m:val="‖"/>
            <m:endChr m:val="‖"/>
          </m:dPr>
          <m:e>
            <m:r>
              <w:rPr>
                <w:rFonts w:ascii="Cambria Math" w:hAnsi="Cambria Math"/>
              </w:rPr>
              <m:t xml:space="preserve">u</m:t>
            </m:r>
          </m:e>
        </m:d>
        <m:r>
          <w:rPr>
            <w:rFonts w:ascii="Cambria Math" w:hAnsi="Cambria Math"/>
          </w:rPr>
          <m:t xml:space="preserve">u</m:t>
        </m:r>
      </m:oMath>
    </w:p>
    <w:p>
      <w:pPr>
        <w:pStyle w:val="Normal"/>
        <w:jc w:val="both"/>
        <w:rPr>
          <w:rFonts w:ascii="Calibri" w:hAnsi="Calibri" w:eastAsia="Calibri" w:cs="Calibri"/>
        </w:rPr>
      </w:pPr>
      <w:r>
        <w:rPr>
          <w:rFonts w:eastAsia="Calibri" w:cs="Calibri" w:ascii="Calibri" w:hAnsi="Calibri"/>
        </w:rPr>
      </w:r>
    </w:p>
    <w:p>
      <w:pPr>
        <w:pStyle w:val="Normal"/>
        <w:jc w:val="center"/>
        <w:rPr/>
      </w:pPr>
      <w:r>
        <w:rPr/>
      </w:r>
      <m:oMath xmlns:m="http://schemas.openxmlformats.org/officeDocument/2006/math">
        <m:f>
          <m:num>
            <m:r>
              <w:rPr>
                <w:rFonts w:ascii="Cambria Math" w:hAnsi="Cambria Math"/>
              </w:rPr>
              <m:t xml:space="preserve">∂</m:t>
            </m:r>
            <m:r>
              <w:rPr>
                <w:rFonts w:ascii="Cambria Math" w:hAnsi="Cambria Math"/>
              </w:rPr>
              <m:t xml:space="preserve">Hu</m:t>
            </m:r>
          </m:num>
          <m:den>
            <m:r>
              <w:rPr>
                <w:rFonts w:ascii="Cambria Math" w:hAnsi="Cambria Math"/>
              </w:rPr>
              <m:t xml:space="preserve">∂</m:t>
            </m:r>
            <m:r>
              <w:rPr>
                <w:rFonts w:ascii="Cambria Math" w:hAnsi="Cambria Math"/>
              </w:rPr>
              <m:t xml:space="preserve">x</m:t>
            </m:r>
          </m:den>
        </m:f>
        <m:r>
          <w:rPr>
            <w:rFonts w:ascii="Cambria Math" w:hAnsi="Cambria Math"/>
          </w:rPr>
          <m:t xml:space="preserve">=</m:t>
        </m:r>
        <m:r>
          <w:rPr>
            <w:rFonts w:ascii="Cambria Math" w:hAnsi="Cambria Math"/>
          </w:rPr>
          <m:t xml:space="preserve">0</m:t>
        </m:r>
      </m:oMath>
    </w:p>
    <w:p>
      <w:pPr>
        <w:pStyle w:val="Normal"/>
        <w:jc w:val="both"/>
        <w:rPr>
          <w:rFonts w:ascii="Calibri" w:hAnsi="Calibri" w:eastAsia="Calibri" w:cs="Calibri"/>
          <w:color w:val="C00000"/>
        </w:rPr>
      </w:pPr>
      <w:r>
        <w:rPr>
          <w:rFonts w:eastAsia="Calibri" w:cs="Calibri" w:ascii="Calibri" w:hAnsi="Calibri"/>
          <w:color w:val="C00000"/>
        </w:rPr>
      </w:r>
    </w:p>
    <w:p>
      <w:pPr>
        <w:pStyle w:val="Normal"/>
        <w:jc w:val="both"/>
        <w:rPr>
          <w:rFonts w:ascii="Calibri" w:hAnsi="Calibri" w:eastAsia="Calibri" w:cs="Calibri"/>
          <w:b/>
          <w:b/>
        </w:rPr>
      </w:pPr>
      <w:r>
        <w:rPr>
          <w:rFonts w:eastAsia="Calibri" w:cs="Calibri" w:ascii="Calibri" w:hAnsi="Calibri"/>
          <w:b/>
        </w:rPr>
        <w:t>Fleuve infini de pente uniforme</w:t>
      </w:r>
    </w:p>
    <w:p>
      <w:pPr>
        <w:pStyle w:val="Normal"/>
        <w:jc w:val="both"/>
        <w:rPr>
          <w:rFonts w:ascii="Calibri" w:hAnsi="Calibri" w:eastAsia="Calibri" w:cs="Calibri"/>
        </w:rPr>
      </w:pPr>
      <w:r>
        <w:rPr>
          <w:rFonts w:eastAsia="Calibri" w:cs="Calibri" w:ascii="Calibri" w:hAnsi="Calibri"/>
        </w:rPr>
      </w:r>
    </w:p>
    <w:p>
      <w:pPr>
        <w:pStyle w:val="Normal"/>
        <w:jc w:val="both"/>
        <w:rPr/>
      </w:pPr>
      <w:r>
        <w:rPr>
          <w:rFonts w:eastAsia="Calibri" w:cs="Calibri" w:ascii="Calibri" w:hAnsi="Calibri"/>
        </w:rPr>
        <w:t xml:space="preserve">On peut trouver une solution particulière pour un débit régulier, une longueur de rivière infinie, pour un H, une pente de lit et un u uniformes : </w:t>
      </w:r>
    </w:p>
    <w:p>
      <w:pPr>
        <w:pStyle w:val="Normal"/>
        <w:jc w:val="both"/>
        <w:rPr>
          <w:rFonts w:ascii="Calibri" w:hAnsi="Calibri" w:eastAsia="Calibri" w:cs="Calibri"/>
        </w:rPr>
      </w:pPr>
      <w:r>
        <w:rPr>
          <w:rFonts w:eastAsia="Calibri" w:cs="Calibri" w:ascii="Calibri" w:hAnsi="Calibri"/>
        </w:rPr>
      </w:r>
    </w:p>
    <w:p>
      <w:pPr>
        <w:pStyle w:val="Normal"/>
        <w:jc w:val="both"/>
        <w:rPr/>
      </w:pPr>
      <w:r>
        <w:rPr/>
      </w:r>
      <m:oMath xmlns:m="http://schemas.openxmlformats.org/officeDocument/2006/math">
        <m:f>
          <m:num>
            <m:r>
              <w:rPr>
                <w:rFonts w:ascii="Cambria Math" w:hAnsi="Cambria Math"/>
              </w:rPr>
              <m:t xml:space="preserve">∂</m:t>
            </m:r>
            <m:r>
              <w:rPr>
                <w:rFonts w:ascii="Cambria Math" w:hAnsi="Cambria Math"/>
              </w:rPr>
              <m:t xml:space="preserve">u</m:t>
            </m:r>
          </m:num>
          <m:den>
            <m:r>
              <w:rPr>
                <w:rFonts w:ascii="Cambria Math" w:hAnsi="Cambria Math"/>
              </w:rPr>
              <m:t xml:space="preserve">∂</m:t>
            </m:r>
            <m:r>
              <w:rPr>
                <w:rFonts w:ascii="Cambria Math" w:hAnsi="Cambria Math"/>
              </w:rPr>
              <m:t xml:space="preserve">x</m:t>
            </m:r>
          </m:den>
        </m:f>
        <m:r>
          <w:rPr>
            <w:rFonts w:ascii="Cambria Math" w:hAnsi="Cambria Math"/>
          </w:rPr>
          <m:t xml:space="preserve">=</m:t>
        </m:r>
        <m:f>
          <m:num>
            <m:r>
              <w:rPr>
                <w:rFonts w:ascii="Cambria Math" w:hAnsi="Cambria Math"/>
              </w:rPr>
              <m:t xml:space="preserve">∂</m:t>
            </m:r>
            <m:r>
              <w:rPr>
                <w:rFonts w:ascii="Cambria Math" w:hAnsi="Cambria Math"/>
              </w:rPr>
              <m:t xml:space="preserve">H</m:t>
            </m:r>
          </m:num>
          <m:den>
            <m:r>
              <w:rPr>
                <w:rFonts w:ascii="Cambria Math" w:hAnsi="Cambria Math"/>
              </w:rPr>
              <m:t xml:space="preserve">∂</m:t>
            </m:r>
            <m:r>
              <w:rPr>
                <w:rFonts w:ascii="Cambria Math" w:hAnsi="Cambria Math"/>
              </w:rPr>
              <m:t xml:space="preserve">x</m:t>
            </m:r>
          </m:den>
        </m:f>
        <m:r>
          <w:rPr>
            <w:rFonts w:ascii="Cambria Math" w:hAnsi="Cambria Math"/>
          </w:rPr>
          <m:t xml:space="preserve">=</m:t>
        </m:r>
        <m:r>
          <w:rPr>
            <w:rFonts w:ascii="Cambria Math" w:hAnsi="Cambria Math"/>
          </w:rPr>
          <m:t xml:space="preserve">0</m:t>
        </m:r>
        <m:r>
          <w:rPr>
            <w:rFonts w:ascii="Cambria Math" w:hAnsi="Cambria Math"/>
          </w:rPr>
          <m:t xml:space="preserve">,</m:t>
        </m:r>
        <m:f>
          <m:num>
            <m:r>
              <w:rPr>
                <w:rFonts w:ascii="Cambria Math" w:hAnsi="Cambria Math"/>
              </w:rPr>
              <m:t xml:space="preserve">∂</m:t>
            </m:r>
            <m:r>
              <w:rPr>
                <w:rFonts w:ascii="Cambria Math" w:hAnsi="Cambria Math"/>
              </w:rPr>
              <m:t xml:space="preserve">b</m:t>
            </m:r>
          </m:num>
          <m:den>
            <m:r>
              <w:rPr>
                <w:rFonts w:ascii="Cambria Math" w:hAnsi="Cambria Math"/>
              </w:rPr>
              <m:t xml:space="preserve">∂</m:t>
            </m:r>
            <m:r>
              <w:rPr>
                <w:rFonts w:ascii="Cambria Math" w:hAnsi="Cambria Math"/>
              </w:rPr>
              <m:t xml:space="preserve">x</m:t>
            </m:r>
          </m:den>
        </m:f>
        <m:r>
          <w:rPr>
            <w:rFonts w:ascii="Cambria Math" w:hAnsi="Cambria Math"/>
          </w:rPr>
          <m:t xml:space="preserve">=</m:t>
        </m:r>
        <m:r>
          <w:rPr>
            <w:rFonts w:ascii="Cambria Math" w:hAnsi="Cambria Math"/>
          </w:rPr>
          <m:t xml:space="preserve">cste</m:t>
        </m:r>
      </m:oMath>
    </w:p>
    <w:p>
      <w:pPr>
        <w:pStyle w:val="Normal"/>
        <w:jc w:val="both"/>
        <w:rPr>
          <w:rFonts w:ascii="Calibri" w:hAnsi="Calibri" w:eastAsia="Calibri" w:cs="Calibri"/>
          <w:color w:val="C00000"/>
        </w:rPr>
      </w:pPr>
      <w:r>
        <w:rPr>
          <w:rFonts w:eastAsia="Calibri" w:cs="Calibri" w:ascii="Calibri" w:hAnsi="Calibri"/>
          <w:color w:val="C00000"/>
        </w:rPr>
      </w:r>
    </w:p>
    <w:p>
      <w:pPr>
        <w:pStyle w:val="Normal"/>
        <w:jc w:val="center"/>
        <w:rPr/>
      </w:pPr>
      <w:r>
        <w:rPr/>
      </w:r>
      <m:oMath xmlns:m="http://schemas.openxmlformats.org/officeDocument/2006/math">
        <m:sSub>
          <m:e>
            <m:r>
              <w:rPr>
                <w:rFonts w:ascii="Cambria Math" w:hAnsi="Cambria Math"/>
              </w:rPr>
              <m:t xml:space="preserve">C</m:t>
            </m:r>
          </m:e>
          <m:sub>
            <m:r>
              <w:rPr>
                <w:rFonts w:ascii="Cambria Math" w:hAnsi="Cambria Math"/>
              </w:rPr>
              <m:t xml:space="preserve">d</m:t>
            </m:r>
          </m:sub>
        </m:sSub>
        <m:r>
          <w:rPr>
            <w:rFonts w:ascii="Cambria Math" w:hAnsi="Cambria Math"/>
          </w:rPr>
          <m:t xml:space="preserve">‖</m:t>
        </m:r>
        <m:r>
          <w:rPr>
            <w:rFonts w:ascii="Cambria Math" w:hAnsi="Cambria Math"/>
          </w:rPr>
          <m:t xml:space="preserve">u</m:t>
        </m:r>
        <m:r>
          <w:rPr>
            <w:rFonts w:ascii="Cambria Math" w:hAnsi="Cambria Math"/>
          </w:rPr>
          <m:t xml:space="preserve">‖</m:t>
        </m:r>
        <m:r>
          <w:rPr>
            <w:rFonts w:ascii="Cambria Math" w:hAnsi="Cambria Math"/>
          </w:rPr>
          <m:t xml:space="preserve">u</m:t>
        </m:r>
        <m:r>
          <w:rPr>
            <w:rFonts w:ascii="Cambria Math" w:hAnsi="Cambria Math"/>
          </w:rPr>
          <m:t xml:space="preserve">=</m:t>
        </m:r>
        <m:r>
          <w:rPr>
            <w:rFonts w:ascii="Cambria Math" w:hAnsi="Cambria Math"/>
          </w:rPr>
          <m:t xml:space="preserve">−</m:t>
        </m:r>
        <m:r>
          <w:rPr>
            <w:rFonts w:ascii="Cambria Math" w:hAnsi="Cambria Math"/>
          </w:rPr>
          <m:t xml:space="preserve">gH</m:t>
        </m:r>
        <m:f>
          <m:num>
            <m:r>
              <w:rPr>
                <w:rFonts w:ascii="Cambria Math" w:hAnsi="Cambria Math"/>
              </w:rPr>
              <m:t xml:space="preserve">∂</m:t>
            </m:r>
            <m:r>
              <w:rPr>
                <w:rFonts w:ascii="Cambria Math" w:hAnsi="Cambria Math"/>
              </w:rPr>
              <m:t xml:space="preserve">η</m:t>
            </m:r>
          </m:num>
          <m:den>
            <m:r>
              <w:rPr>
                <w:rFonts w:ascii="Cambria Math" w:hAnsi="Cambria Math"/>
              </w:rPr>
              <m:t xml:space="preserve">∂</m:t>
            </m:r>
            <m:r>
              <w:rPr>
                <w:rFonts w:ascii="Cambria Math" w:hAnsi="Cambria Math"/>
              </w:rPr>
              <m:t xml:space="preserve">x</m:t>
            </m:r>
          </m:den>
        </m:f>
      </m:oMath>
    </w:p>
    <w:p>
      <w:pPr>
        <w:pStyle w:val="Normal"/>
        <w:jc w:val="both"/>
        <w:rPr>
          <w:rFonts w:ascii="Calibri" w:hAnsi="Calibri" w:eastAsia="Calibri" w:cs="Calibri"/>
          <w:color w:val="C00000"/>
        </w:rPr>
      </w:pPr>
      <w:r>
        <w:rPr>
          <w:rFonts w:eastAsia="Calibri" w:cs="Calibri" w:ascii="Calibri" w:hAnsi="Calibri"/>
          <w:color w:val="C00000"/>
        </w:rPr>
      </w:r>
    </w:p>
    <w:p>
      <w:pPr>
        <w:pStyle w:val="Normal"/>
        <w:jc w:val="center"/>
        <w:rPr/>
      </w:pPr>
      <w:r>
        <w:rPr/>
      </w:r>
      <m:oMath xmlns:m="http://schemas.openxmlformats.org/officeDocument/2006/math">
        <m:sSub>
          <m:e>
            <m:r>
              <w:rPr>
                <w:rFonts w:ascii="Cambria Math" w:hAnsi="Cambria Math"/>
              </w:rPr>
              <m:t xml:space="preserve">C</m:t>
            </m:r>
          </m:e>
          <m:sub>
            <m:r>
              <w:rPr>
                <w:rFonts w:ascii="Cambria Math" w:hAnsi="Cambria Math"/>
              </w:rPr>
              <m:t xml:space="preserve">d</m:t>
            </m:r>
          </m:sub>
        </m:sSub>
        <m:d>
          <m:dPr>
            <m:begChr m:val="‖"/>
            <m:endChr m:val="‖"/>
          </m:dPr>
          <m:e>
            <m:r>
              <w:rPr>
                <w:rFonts w:ascii="Cambria Math" w:hAnsi="Cambria Math"/>
              </w:rPr>
              <m:t xml:space="preserve">D</m:t>
            </m:r>
          </m:e>
        </m:d>
        <m:r>
          <w:rPr>
            <w:rFonts w:ascii="Cambria Math" w:hAnsi="Cambria Math"/>
          </w:rPr>
          <m:t xml:space="preserve">D</m:t>
        </m:r>
        <m:r>
          <w:rPr>
            <w:rFonts w:ascii="Cambria Math" w:hAnsi="Cambria Math"/>
          </w:rPr>
          <m:t xml:space="preserve">=</m:t>
        </m:r>
        <m:r>
          <w:rPr>
            <w:rFonts w:ascii="Cambria Math" w:hAnsi="Cambria Math"/>
          </w:rPr>
          <m:t xml:space="preserve">−</m:t>
        </m:r>
        <m:r>
          <w:rPr>
            <w:rFonts w:ascii="Cambria Math" w:hAnsi="Cambria Math"/>
          </w:rPr>
          <m:t xml:space="preserve">g</m:t>
        </m:r>
        <m:sSup>
          <m:e>
            <m:r>
              <w:rPr>
                <w:rFonts w:ascii="Cambria Math" w:hAnsi="Cambria Math"/>
              </w:rPr>
              <m:t xml:space="preserve">H</m:t>
            </m:r>
          </m:e>
          <m:sup>
            <m:r>
              <w:rPr>
                <w:rFonts w:ascii="Cambria Math" w:hAnsi="Cambria Math"/>
              </w:rPr>
              <m:t xml:space="preserve">3</m:t>
            </m:r>
          </m:sup>
        </m:sSup>
        <m:f>
          <m:num>
            <m:r>
              <w:rPr>
                <w:rFonts w:ascii="Cambria Math" w:hAnsi="Cambria Math"/>
              </w:rPr>
              <m:t xml:space="preserve">∂</m:t>
            </m:r>
            <m:r>
              <w:rPr>
                <w:rFonts w:ascii="Cambria Math" w:hAnsi="Cambria Math"/>
              </w:rPr>
              <m:t xml:space="preserve">η</m:t>
            </m:r>
          </m:num>
          <m:den>
            <m:r>
              <w:rPr>
                <w:rFonts w:ascii="Cambria Math" w:hAnsi="Cambria Math"/>
              </w:rPr>
              <m:t xml:space="preserve">∂</m:t>
            </m:r>
            <m:r>
              <w:rPr>
                <w:rFonts w:ascii="Cambria Math" w:hAnsi="Cambria Math"/>
              </w:rPr>
              <m:t xml:space="preserve">x</m:t>
            </m:r>
          </m:den>
        </m:f>
        <m:r>
          <w:rPr>
            <w:rFonts w:ascii="Cambria Math" w:hAnsi="Cambria Math"/>
          </w:rPr>
          <m:t xml:space="preserve">=</m:t>
        </m:r>
        <m:r>
          <w:rPr>
            <w:rFonts w:ascii="Cambria Math" w:hAnsi="Cambria Math"/>
          </w:rPr>
          <m:t xml:space="preserve">−</m:t>
        </m:r>
        <m:r>
          <w:rPr>
            <w:rFonts w:ascii="Cambria Math" w:hAnsi="Cambria Math"/>
          </w:rPr>
          <m:t xml:space="preserve">g</m:t>
        </m:r>
        <m:sSup>
          <m:e>
            <m:r>
              <w:rPr>
                <w:rFonts w:ascii="Cambria Math" w:hAnsi="Cambria Math"/>
              </w:rPr>
              <m:t xml:space="preserve">H</m:t>
            </m:r>
          </m:e>
          <m:sup>
            <m:r>
              <w:rPr>
                <w:rFonts w:ascii="Cambria Math" w:hAnsi="Cambria Math"/>
              </w:rPr>
              <m:t xml:space="preserve">3</m:t>
            </m:r>
          </m:sup>
        </m:sSup>
        <m:f>
          <m:num>
            <m:r>
              <w:rPr>
                <w:rFonts w:ascii="Cambria Math" w:hAnsi="Cambria Math"/>
              </w:rPr>
              <m:t xml:space="preserve">∂</m:t>
            </m:r>
            <m:d>
              <m:dPr>
                <m:begChr m:val="("/>
                <m:endChr m:val=")"/>
              </m:dPr>
              <m:e>
                <m:r>
                  <w:rPr>
                    <w:rFonts w:ascii="Cambria Math" w:hAnsi="Cambria Math"/>
                  </w:rPr>
                  <m:t xml:space="preserve">H</m:t>
                </m:r>
                <m:r>
                  <w:rPr>
                    <w:rFonts w:ascii="Cambria Math" w:hAnsi="Cambria Math"/>
                  </w:rPr>
                  <m:t xml:space="preserve">+</m:t>
                </m:r>
                <m:r>
                  <w:rPr>
                    <w:rFonts w:ascii="Cambria Math" w:hAnsi="Cambria Math"/>
                  </w:rPr>
                  <m:t xml:space="preserve">b</m:t>
                </m:r>
              </m:e>
            </m:d>
          </m:num>
          <m:den>
            <m:r>
              <w:rPr>
                <w:rFonts w:ascii="Cambria Math" w:hAnsi="Cambria Math"/>
              </w:rPr>
              <m:t xml:space="preserve">∂</m:t>
            </m:r>
            <m:r>
              <w:rPr>
                <w:rFonts w:ascii="Cambria Math" w:hAnsi="Cambria Math"/>
              </w:rPr>
              <m:t xml:space="preserve">x</m:t>
            </m:r>
          </m:den>
        </m:f>
        <m:r>
          <w:rPr>
            <w:rFonts w:ascii="Cambria Math" w:hAnsi="Cambria Math"/>
          </w:rPr>
          <m:t xml:space="preserve">=</m:t>
        </m:r>
        <m:r>
          <w:rPr>
            <w:rFonts w:ascii="Cambria Math" w:hAnsi="Cambria Math"/>
          </w:rPr>
          <m:t xml:space="preserve">−</m:t>
        </m:r>
        <m:r>
          <w:rPr>
            <w:rFonts w:ascii="Cambria Math" w:hAnsi="Cambria Math"/>
          </w:rPr>
          <m:t xml:space="preserve">g</m:t>
        </m:r>
        <m:sSup>
          <m:e>
            <m:r>
              <w:rPr>
                <w:rFonts w:ascii="Cambria Math" w:hAnsi="Cambria Math"/>
              </w:rPr>
              <m:t xml:space="preserve">H</m:t>
            </m:r>
          </m:e>
          <m:sup>
            <m:r>
              <w:rPr>
                <w:rFonts w:ascii="Cambria Math" w:hAnsi="Cambria Math"/>
              </w:rPr>
              <m:t xml:space="preserve">3</m:t>
            </m:r>
          </m:sup>
        </m:sSup>
        <m:f>
          <m:num>
            <m:r>
              <w:rPr>
                <w:rFonts w:ascii="Cambria Math" w:hAnsi="Cambria Math"/>
              </w:rPr>
              <m:t xml:space="preserve">∂</m:t>
            </m:r>
            <m:r>
              <w:rPr>
                <w:rFonts w:ascii="Cambria Math" w:hAnsi="Cambria Math"/>
              </w:rPr>
              <m:t xml:space="preserve">b</m:t>
            </m:r>
          </m:num>
          <m:den>
            <m:r>
              <w:rPr>
                <w:rFonts w:ascii="Cambria Math" w:hAnsi="Cambria Math"/>
              </w:rPr>
              <m:t xml:space="preserve">∂</m:t>
            </m:r>
            <m:r>
              <w:rPr>
                <w:rFonts w:ascii="Cambria Math" w:hAnsi="Cambria Math"/>
              </w:rPr>
              <m:t xml:space="preserve">x</m:t>
            </m:r>
          </m:den>
        </m:f>
      </m:oMath>
    </w:p>
    <w:p>
      <w:pPr>
        <w:pStyle w:val="Normal"/>
        <w:jc w:val="both"/>
        <w:rPr>
          <w:rFonts w:ascii="Calibri" w:hAnsi="Calibri" w:eastAsia="Calibri" w:cs="Calibri"/>
          <w:color w:val="C00000"/>
        </w:rPr>
      </w:pPr>
      <w:r>
        <w:rPr>
          <w:rFonts w:eastAsia="Calibri" w:cs="Calibri" w:ascii="Calibri" w:hAnsi="Calibri"/>
          <w:color w:val="C00000"/>
        </w:rPr>
      </w:r>
    </w:p>
    <w:p>
      <w:pPr>
        <w:pStyle w:val="Normal"/>
        <w:rPr/>
      </w:pPr>
      <w:r>
        <w:rPr>
          <w:rFonts w:eastAsia="Calibri" w:cs="Calibri" w:ascii="Calibri" w:hAnsi="Calibri"/>
        </w:rPr>
        <w:t xml:space="preserve">où </w:t>
      </w:r>
      <w:r>
        <w:rPr/>
      </w:r>
      <m:oMath xmlns:m="http://schemas.openxmlformats.org/officeDocument/2006/math">
        <m:r>
          <w:rPr>
            <w:rFonts w:ascii="Cambria Math" w:hAnsi="Cambria Math"/>
          </w:rPr>
          <m:t xml:space="preserve">D</m:t>
        </m:r>
        <m:r>
          <w:rPr>
            <w:rFonts w:ascii="Cambria Math" w:hAnsi="Cambria Math"/>
          </w:rPr>
          <m:t xml:space="preserve">=</m:t>
        </m:r>
        <m:r>
          <w:rPr>
            <w:rFonts w:ascii="Cambria Math" w:hAnsi="Cambria Math"/>
          </w:rPr>
          <m:t xml:space="preserve">Hu</m:t>
        </m:r>
      </m:oMath>
      <w:r>
        <w:rPr/>
        <w:t xml:space="preserve"> </w:t>
      </w:r>
      <w:r>
        <w:rPr>
          <w:rFonts w:eastAsia="Calibri" w:cs="Calibri" w:ascii="Calibri" w:hAnsi="Calibri"/>
        </w:rPr>
        <w:t xml:space="preserve">c'est-à-dire le débit de la rivière par mètre (à travers la rivière). </w:t>
      </w:r>
      <w:r>
        <w:rPr>
          <w:rFonts w:eastAsia="Cambria Math" w:cs="Cambria Math" w:ascii="Cambria Math" w:hAnsi="Cambria Math"/>
        </w:rPr>
        <w:t xml:space="preserve">Le système d'équation nécessite une entrée supplémentaire pour être résolu, qui peut être choisie entre </w:t>
      </w:r>
      <w:r>
        <w:rPr>
          <w:rFonts w:eastAsia="Cambria Math" w:cs="Cambria Math" w:ascii="Cambria Math" w:hAnsi="Cambria Math"/>
          <w:i/>
        </w:rPr>
        <w:t xml:space="preserve">H </w:t>
      </w:r>
      <w:r>
        <w:rPr>
          <w:rFonts w:eastAsia="Cambria Math" w:cs="Cambria Math" w:ascii="Cambria Math" w:hAnsi="Cambria Math"/>
        </w:rPr>
        <w:t xml:space="preserve">et </w:t>
      </w:r>
      <w:r>
        <w:rPr>
          <w:rFonts w:eastAsia="Cambria Math" w:cs="Cambria Math" w:ascii="Cambria Math" w:hAnsi="Cambria Math"/>
          <w:i/>
        </w:rPr>
        <w:t>D</w:t>
      </w:r>
      <w:r>
        <w:rPr>
          <w:rFonts w:eastAsia="Cambria Math" w:cs="Cambria Math" w:ascii="Cambria Math" w:hAnsi="Cambria Math"/>
        </w:rPr>
        <w:t xml:space="preserve">. </w:t>
      </w:r>
      <w:r>
        <w:rPr>
          <w:rFonts w:eastAsia="Calibri" w:cs="Calibri" w:ascii="Calibri" w:hAnsi="Calibri"/>
        </w:rPr>
        <w:t xml:space="preserve">En prescrivant le débit de la rivière </w:t>
      </w:r>
      <w:r>
        <w:rPr>
          <w:rFonts w:eastAsia="Calibri" w:cs="Calibri" w:ascii="Calibri" w:hAnsi="Calibri"/>
          <w:i/>
        </w:rPr>
        <w:t>D</w:t>
      </w:r>
      <w:r>
        <w:rPr>
          <w:rFonts w:eastAsia="Calibri" w:cs="Calibri" w:ascii="Calibri" w:hAnsi="Calibri"/>
        </w:rPr>
        <w:t>, la solution particulière (H et u uniformes) est lue :</w:t>
      </w:r>
    </w:p>
    <w:p>
      <w:pPr>
        <w:pStyle w:val="Normal"/>
        <w:jc w:val="both"/>
        <w:rPr/>
      </w:pPr>
      <w:r>
        <w:rPr/>
      </w:r>
      <m:oMath xmlns:m="http://schemas.openxmlformats.org/officeDocument/2006/math">
        <m:r>
          <w:rPr>
            <w:rFonts w:ascii="Cambria Math" w:hAnsi="Cambria Math"/>
          </w:rPr>
          <m:t xml:space="preserve">H</m:t>
        </m:r>
        <m:r>
          <w:rPr>
            <w:rFonts w:ascii="Cambria Math" w:hAnsi="Cambria Math"/>
          </w:rPr>
          <m:t xml:space="preserve">=</m:t>
        </m:r>
        <m:rad>
          <m:deg>
            <m:r>
              <w:rPr>
                <w:rFonts w:ascii="Cambria Math" w:hAnsi="Cambria Math"/>
              </w:rPr>
              <m:t xml:space="preserve">3</m:t>
            </m:r>
          </m:deg>
          <m:e>
            <m:f>
              <m:num>
                <m:sSub>
                  <m:e>
                    <m:r>
                      <w:rPr>
                        <w:rFonts w:ascii="Cambria Math" w:hAnsi="Cambria Math"/>
                      </w:rPr>
                      <m:t xml:space="preserve">C</m:t>
                    </m:r>
                  </m:e>
                  <m:sub>
                    <m:r>
                      <w:rPr>
                        <w:rFonts w:ascii="Cambria Math" w:hAnsi="Cambria Math"/>
                      </w:rPr>
                      <m:t xml:space="preserve">d</m:t>
                    </m:r>
                  </m:sub>
                </m:sSub>
                <m:r>
                  <w:rPr>
                    <w:rFonts w:ascii="Cambria Math" w:hAnsi="Cambria Math"/>
                  </w:rPr>
                  <m:t xml:space="preserve">‖</m:t>
                </m:r>
                <m:r>
                  <w:rPr>
                    <w:rFonts w:ascii="Cambria Math" w:hAnsi="Cambria Math"/>
                  </w:rPr>
                  <m:t xml:space="preserve">D</m:t>
                </m:r>
                <m:r>
                  <w:rPr>
                    <w:rFonts w:ascii="Cambria Math" w:hAnsi="Cambria Math"/>
                  </w:rPr>
                  <m:t xml:space="preserve">‖</m:t>
                </m:r>
                <m:r>
                  <w:rPr>
                    <w:rFonts w:ascii="Cambria Math" w:hAnsi="Cambria Math"/>
                  </w:rPr>
                  <m:t xml:space="preserve">D</m:t>
                </m:r>
              </m:num>
              <m:den>
                <m:r>
                  <w:rPr>
                    <w:rFonts w:ascii="Cambria Math" w:hAnsi="Cambria Math"/>
                  </w:rPr>
                  <m:t xml:space="preserve">g</m:t>
                </m:r>
                <m:f>
                  <m:num>
                    <m:r>
                      <w:rPr>
                        <w:rFonts w:ascii="Cambria Math" w:hAnsi="Cambria Math"/>
                      </w:rPr>
                      <m:t xml:space="preserve">∂</m:t>
                    </m:r>
                    <m:r>
                      <w:rPr>
                        <w:rFonts w:ascii="Cambria Math" w:hAnsi="Cambria Math"/>
                      </w:rPr>
                      <m:t xml:space="preserve">b</m:t>
                    </m:r>
                  </m:num>
                  <m:den>
                    <m:r>
                      <w:rPr>
                        <w:rFonts w:ascii="Cambria Math" w:hAnsi="Cambria Math"/>
                      </w:rPr>
                      <m:t xml:space="preserve">∂</m:t>
                    </m:r>
                    <m:r>
                      <w:rPr>
                        <w:rFonts w:ascii="Cambria Math" w:hAnsi="Cambria Math"/>
                      </w:rPr>
                      <m:t xml:space="preserve">x</m:t>
                    </m:r>
                  </m:den>
                </m:f>
              </m:den>
            </m:f>
          </m:e>
        </m:rad>
      </m:oMath>
    </w:p>
    <w:p>
      <w:pPr>
        <w:pStyle w:val="Normal"/>
        <w:jc w:val="both"/>
        <w:rPr>
          <w:rFonts w:ascii="Calibri" w:hAnsi="Calibri" w:eastAsia="Calibri" w:cs="Calibri"/>
        </w:rPr>
      </w:pPr>
      <w:r>
        <w:rPr>
          <w:rFonts w:eastAsia="Calibri" w:cs="Calibri" w:ascii="Calibri" w:hAnsi="Calibri"/>
        </w:rPr>
        <w:t>En prescrivant la profondeur instantanée de la rivière, la solution particulière se lit :</w:t>
      </w:r>
    </w:p>
    <w:p>
      <w:pPr>
        <w:pStyle w:val="Normal"/>
        <w:jc w:val="both"/>
        <w:rPr>
          <w:rFonts w:ascii="Calibri" w:hAnsi="Calibri" w:eastAsia="Calibri" w:cs="Calibri"/>
        </w:rPr>
      </w:pPr>
      <w:r>
        <w:rPr>
          <w:rFonts w:eastAsia="Calibri" w:cs="Calibri" w:ascii="Calibri" w:hAnsi="Calibri"/>
        </w:rPr>
      </w:r>
    </w:p>
    <w:p>
      <w:pPr>
        <w:pStyle w:val="Caption1"/>
        <w:rPr/>
      </w:pPr>
      <w:r>
        <w:rPr/>
      </w:r>
      <m:oMath xmlns:m="http://schemas.openxmlformats.org/officeDocument/2006/math">
        <m:r>
          <w:rPr>
            <w:rFonts w:ascii="Cambria Math" w:hAnsi="Cambria Math"/>
          </w:rPr>
          <m:t xml:space="preserve">D</m:t>
        </m:r>
        <m:r>
          <w:rPr>
            <w:rFonts w:ascii="Cambria Math" w:hAnsi="Cambria Math"/>
          </w:rPr>
          <m:t xml:space="preserve">=</m:t>
        </m:r>
        <m:r>
          <w:rPr>
            <w:rFonts w:ascii="Cambria Math" w:hAnsi="Cambria Math"/>
          </w:rPr>
          <m:t xml:space="preserve">−</m:t>
        </m:r>
        <m:r>
          <w:rPr>
            <w:rFonts w:ascii="Cambria Math" w:hAnsi="Cambria Math"/>
          </w:rPr>
          <m:t xml:space="preserve">sign</m:t>
        </m:r>
        <m:d>
          <m:dPr>
            <m:begChr m:val="("/>
            <m:endChr m:val=")"/>
          </m:dPr>
          <m:e>
            <m:f>
              <m:num>
                <m:r>
                  <w:rPr>
                    <w:rFonts w:ascii="Cambria Math" w:hAnsi="Cambria Math"/>
                  </w:rPr>
                  <m:t xml:space="preserve">∂</m:t>
                </m:r>
                <m:r>
                  <w:rPr>
                    <w:rFonts w:ascii="Cambria Math" w:hAnsi="Cambria Math"/>
                  </w:rPr>
                  <m:t xml:space="preserve">b</m:t>
                </m:r>
              </m:num>
              <m:den>
                <m:r>
                  <w:rPr>
                    <w:rFonts w:ascii="Cambria Math" w:hAnsi="Cambria Math"/>
                  </w:rPr>
                  <m:t xml:space="preserve">∂</m:t>
                </m:r>
                <m:r>
                  <w:rPr>
                    <w:rFonts w:ascii="Cambria Math" w:hAnsi="Cambria Math"/>
                  </w:rPr>
                  <m:t xml:space="preserve">x</m:t>
                </m:r>
              </m:den>
            </m:f>
          </m:e>
        </m:d>
        <m:rad>
          <m:radPr>
            <m:degHide m:val="1"/>
          </m:radPr>
          <m:deg/>
          <m:e>
            <m:f>
              <m:num>
                <m:r>
                  <w:rPr>
                    <w:rFonts w:ascii="Cambria Math" w:hAnsi="Cambria Math"/>
                  </w:rPr>
                  <m:t xml:space="preserve">g</m:t>
                </m:r>
              </m:num>
              <m:den>
                <m:sSub>
                  <m:e>
                    <m:r>
                      <w:rPr>
                        <w:rFonts w:ascii="Cambria Math" w:hAnsi="Cambria Math"/>
                      </w:rPr>
                      <m:t xml:space="preserve">C</m:t>
                    </m:r>
                  </m:e>
                  <m:sub>
                    <m:r>
                      <w:rPr>
                        <w:rFonts w:ascii="Cambria Math" w:hAnsi="Cambria Math"/>
                      </w:rPr>
                      <m:t xml:space="preserve">d</m:t>
                    </m:r>
                  </m:sub>
                </m:sSub>
              </m:den>
            </m:f>
            <m:sSup>
              <m:e>
                <m:r>
                  <w:rPr>
                    <w:rFonts w:ascii="Cambria Math" w:hAnsi="Cambria Math"/>
                  </w:rPr>
                  <m:t xml:space="preserve">H</m:t>
                </m:r>
              </m:e>
              <m:sup>
                <m:r>
                  <w:rPr>
                    <w:rFonts w:ascii="Cambria Math" w:hAnsi="Cambria Math"/>
                  </w:rPr>
                  <m:t xml:space="preserve">3</m:t>
                </m:r>
              </m:sup>
            </m:sSup>
            <m:d>
              <m:dPr>
                <m:begChr m:val="|"/>
                <m:endChr m:val="|"/>
              </m:dPr>
              <m:e>
                <m:f>
                  <m:num>
                    <m:r>
                      <w:rPr>
                        <w:rFonts w:ascii="Cambria Math" w:hAnsi="Cambria Math"/>
                      </w:rPr>
                      <m:t xml:space="preserve">∂</m:t>
                    </m:r>
                    <m:r>
                      <w:rPr>
                        <w:rFonts w:ascii="Cambria Math" w:hAnsi="Cambria Math"/>
                      </w:rPr>
                      <m:t xml:space="preserve">b</m:t>
                    </m:r>
                  </m:num>
                  <m:den>
                    <m:r>
                      <w:rPr>
                        <w:rFonts w:ascii="Cambria Math" w:hAnsi="Cambria Math"/>
                      </w:rPr>
                      <m:t xml:space="preserve">∂</m:t>
                    </m:r>
                    <m:r>
                      <w:rPr>
                        <w:rFonts w:ascii="Cambria Math" w:hAnsi="Cambria Math"/>
                      </w:rPr>
                      <m:t xml:space="preserve">x</m:t>
                    </m:r>
                  </m:den>
                </m:f>
              </m:e>
            </m:d>
          </m:e>
        </m:rad>
      </m:oMath>
    </w:p>
    <w:p>
      <w:pPr>
        <w:pStyle w:val="Normal"/>
        <w:jc w:val="center"/>
        <w:rPr/>
      </w:pPr>
      <w:r>
        <w:rPr/>
      </w:r>
      <m:oMath xmlns:m="http://schemas.openxmlformats.org/officeDocument/2006/math">
        <m:r>
          <w:rPr>
            <w:rFonts w:ascii="Cambria Math" w:hAnsi="Cambria Math"/>
          </w:rPr>
          <m:t xml:space="preserve">D</m:t>
        </m:r>
        <m:r>
          <w:rPr>
            <w:rFonts w:ascii="Cambria Math" w:hAnsi="Cambria Math"/>
          </w:rPr>
          <m:t xml:space="preserve">=</m:t>
        </m:r>
        <m:r>
          <w:rPr>
            <w:rFonts w:ascii="Cambria Math" w:hAnsi="Cambria Math"/>
          </w:rPr>
          <m:t xml:space="preserve">−</m:t>
        </m:r>
        <m:r>
          <w:rPr>
            <w:rFonts w:ascii="Cambria Math" w:hAnsi="Cambria Math"/>
          </w:rPr>
          <m:t xml:space="preserve">sign</m:t>
        </m:r>
        <m:d>
          <m:dPr>
            <m:begChr m:val="("/>
            <m:endChr m:val=")"/>
          </m:dPr>
          <m:e>
            <m:f>
              <m:num>
                <m:r>
                  <w:rPr>
                    <w:rFonts w:ascii="Cambria Math" w:hAnsi="Cambria Math"/>
                  </w:rPr>
                  <m:t xml:space="preserve">∂</m:t>
                </m:r>
                <m:r>
                  <w:rPr>
                    <w:rFonts w:ascii="Cambria Math" w:hAnsi="Cambria Math"/>
                  </w:rPr>
                  <m:t xml:space="preserve">b</m:t>
                </m:r>
              </m:num>
              <m:den>
                <m:r>
                  <w:rPr>
                    <w:rFonts w:ascii="Cambria Math" w:hAnsi="Cambria Math"/>
                  </w:rPr>
                  <m:t xml:space="preserve">∂</m:t>
                </m:r>
                <m:r>
                  <w:rPr>
                    <w:rFonts w:ascii="Cambria Math" w:hAnsi="Cambria Math"/>
                  </w:rPr>
                  <m:t xml:space="preserve">x</m:t>
                </m:r>
              </m:den>
            </m:f>
          </m:e>
        </m:d>
        <m:rad>
          <m:radPr>
            <m:degHide m:val="1"/>
          </m:radPr>
          <m:deg/>
          <m:e>
            <m:f>
              <m:num>
                <m:r>
                  <w:rPr>
                    <w:rFonts w:ascii="Cambria Math" w:hAnsi="Cambria Math"/>
                  </w:rPr>
                  <m:t xml:space="preserve">g</m:t>
                </m:r>
              </m:num>
              <m:den>
                <m:sSub>
                  <m:e>
                    <m:r>
                      <w:rPr>
                        <w:rFonts w:ascii="Cambria Math" w:hAnsi="Cambria Math"/>
                      </w:rPr>
                      <m:t xml:space="preserve">C</m:t>
                    </m:r>
                  </m:e>
                  <m:sub>
                    <m:r>
                      <w:rPr>
                        <w:rFonts w:ascii="Cambria Math" w:hAnsi="Cambria Math"/>
                      </w:rPr>
                      <m:t xml:space="preserve">d</m:t>
                    </m:r>
                  </m:sub>
                </m:sSub>
              </m:den>
            </m:f>
            <m:sSup>
              <m:e>
                <m:r>
                  <w:rPr>
                    <w:rFonts w:ascii="Cambria Math" w:hAnsi="Cambria Math"/>
                  </w:rPr>
                  <m:t xml:space="preserve">H</m:t>
                </m:r>
              </m:e>
              <m:sup>
                <m:r>
                  <w:rPr>
                    <w:rFonts w:ascii="Cambria Math" w:hAnsi="Cambria Math"/>
                  </w:rPr>
                  <m:t xml:space="preserve">3</m:t>
                </m:r>
              </m:sup>
            </m:sSup>
            <m:d>
              <m:dPr>
                <m:begChr m:val="|"/>
                <m:endChr m:val="|"/>
              </m:dPr>
              <m:e>
                <m:f>
                  <m:num>
                    <m:r>
                      <w:rPr>
                        <w:rFonts w:ascii="Cambria Math" w:hAnsi="Cambria Math"/>
                      </w:rPr>
                      <m:t xml:space="preserve">∂</m:t>
                    </m:r>
                    <m:r>
                      <w:rPr>
                        <w:rFonts w:ascii="Cambria Math" w:hAnsi="Cambria Math"/>
                      </w:rPr>
                      <m:t xml:space="preserve">b</m:t>
                    </m:r>
                  </m:num>
                  <m:den>
                    <m:r>
                      <w:rPr>
                        <w:rFonts w:ascii="Cambria Math" w:hAnsi="Cambria Math"/>
                      </w:rPr>
                      <m:t xml:space="preserve">∂</m:t>
                    </m:r>
                    <m:r>
                      <w:rPr>
                        <w:rFonts w:ascii="Cambria Math" w:hAnsi="Cambria Math"/>
                      </w:rPr>
                      <m:t xml:space="preserve">x</m:t>
                    </m:r>
                  </m:den>
                </m:f>
              </m:e>
            </m:d>
          </m:e>
        </m:rad>
      </m:oMath>
    </w:p>
    <w:p>
      <w:pPr>
        <w:pStyle w:val="Normal"/>
        <w:jc w:val="both"/>
        <w:rPr/>
      </w:pPr>
      <w:r>
        <w:rPr>
          <w:rFonts w:eastAsia="Calibri" w:cs="Calibri" w:ascii="Calibri" w:hAnsi="Calibri"/>
        </w:rPr>
        <w:t>Dans les deux cas, u est obtenu avec :</w:t>
      </w:r>
    </w:p>
    <w:p>
      <w:pPr>
        <w:pStyle w:val="Normal"/>
        <w:jc w:val="both"/>
        <w:rPr/>
      </w:pPr>
      <w:r>
        <w:rPr/>
      </w:r>
      <m:oMath xmlns:m="http://schemas.openxmlformats.org/officeDocument/2006/math">
        <m:r>
          <w:rPr>
            <w:rFonts w:ascii="Cambria Math" w:hAnsi="Cambria Math"/>
          </w:rPr>
          <m:t xml:space="preserve">u</m:t>
        </m:r>
        <m:r>
          <w:rPr>
            <w:rFonts w:ascii="Cambria Math" w:hAnsi="Cambria Math"/>
          </w:rPr>
          <m:t xml:space="preserve">=</m:t>
        </m:r>
        <m:f>
          <m:num>
            <m:r>
              <w:rPr>
                <w:rFonts w:ascii="Cambria Math" w:hAnsi="Cambria Math"/>
              </w:rPr>
              <m:t xml:space="preserve">D</m:t>
            </m:r>
          </m:num>
          <m:den>
            <m:r>
              <w:rPr>
                <w:rFonts w:ascii="Cambria Math" w:hAnsi="Cambria Math"/>
              </w:rPr>
              <m:t xml:space="preserve">H</m:t>
            </m:r>
          </m:den>
        </m:f>
      </m:oMath>
    </w:p>
    <w:p>
      <w:pPr>
        <w:pStyle w:val="Normal"/>
        <w:rPr/>
      </w:pPr>
      <w:r>
        <w:rPr/>
      </w:r>
    </w:p>
    <w:p>
      <w:pPr>
        <w:pStyle w:val="Normal"/>
        <w:jc w:val="both"/>
        <w:rPr/>
      </w:pPr>
      <w:r>
        <w:rPr>
          <w:rFonts w:eastAsia="Calibri" w:cs="Calibri" w:ascii="Calibri" w:hAnsi="Calibri"/>
        </w:rPr>
        <w:t xml:space="preserve">Si le coefficient de frottement </w:t>
      </w:r>
      <w:r>
        <w:rPr/>
      </w:r>
      <m:oMath xmlns:m="http://schemas.openxmlformats.org/officeDocument/2006/math">
        <m:sSub>
          <m:e>
            <m:r>
              <w:rPr>
                <w:rFonts w:ascii="Cambria Math" w:hAnsi="Cambria Math"/>
              </w:rPr>
              <m:t xml:space="preserve">C</m:t>
            </m:r>
          </m:e>
          <m:sub>
            <m:r>
              <w:rPr>
                <w:rFonts w:ascii="Cambria Math" w:hAnsi="Cambria Math"/>
              </w:rPr>
              <m:t xml:space="preserve">d</m:t>
            </m:r>
          </m:sub>
        </m:sSub>
      </m:oMath>
      <w:r>
        <w:rPr>
          <w:rFonts w:eastAsia="Calibri" w:cs="Calibri" w:ascii="Calibri" w:hAnsi="Calibri"/>
        </w:rPr>
        <w:t xml:space="preserve"> est obtenu à partir du paramétrage de la longueur de la rugosité du fond, il dépend ensuite de </w:t>
      </w:r>
      <w:r>
        <w:rPr>
          <w:rFonts w:eastAsia="Calibri" w:cs="Calibri" w:ascii="Calibri" w:hAnsi="Calibri"/>
          <w:i/>
        </w:rPr>
        <w:t xml:space="preserve">H, </w:t>
      </w:r>
      <w:r>
        <w:rPr>
          <w:rFonts w:eastAsia="Calibri" w:cs="Calibri" w:ascii="Calibri" w:hAnsi="Calibri"/>
        </w:rPr>
        <w:t>et un schéma itératif (initialisé à partir d'une valeur de coefficient standard comme 2e-3) est utilisé jusqu'à la convergence.</w:t>
      </w:r>
    </w:p>
    <w:p>
      <w:pPr>
        <w:pStyle w:val="Normal"/>
        <w:jc w:val="both"/>
        <w:rPr>
          <w:rFonts w:ascii="Calibri" w:hAnsi="Calibri" w:eastAsia="Calibri" w:cs="Calibri"/>
        </w:rPr>
      </w:pPr>
      <w:r>
        <w:rPr>
          <w:rFonts w:eastAsia="Calibri" w:cs="Calibri" w:ascii="Calibri" w:hAnsi="Calibri"/>
        </w:rPr>
        <w:t>L'équation XXX doit être comparée à la relation empirique d'étalonnage du débit des rivières :</w:t>
      </w:r>
    </w:p>
    <w:p>
      <w:pPr>
        <w:pStyle w:val="Normal"/>
        <w:jc w:val="both"/>
        <w:rPr>
          <w:rFonts w:ascii="Calibri" w:hAnsi="Calibri" w:eastAsia="Calibri" w:cs="Calibri"/>
        </w:rPr>
      </w:pPr>
      <w:r>
        <w:rPr>
          <w:rFonts w:eastAsia="Calibri" w:cs="Calibri" w:ascii="Calibri" w:hAnsi="Calibri"/>
        </w:rPr>
      </w:r>
    </w:p>
    <w:p>
      <w:pPr>
        <w:pStyle w:val="Normal"/>
        <w:jc w:val="center"/>
        <w:rPr/>
      </w:pPr>
      <w:r>
        <w:rPr/>
      </w:r>
      <m:oMath xmlns:m="http://schemas.openxmlformats.org/officeDocument/2006/math">
        <m:d>
          <m:dPr>
            <m:begChr m:val="|"/>
            <m:endChr m:val="|"/>
          </m:dPr>
          <m:e>
            <m:r>
              <w:rPr>
                <w:rFonts w:ascii="Cambria Math" w:hAnsi="Cambria Math"/>
              </w:rPr>
              <m:t xml:space="preserve">D</m:t>
            </m:r>
          </m:e>
        </m:d>
        <m:r>
          <w:rPr>
            <w:rFonts w:ascii="Cambria Math" w:hAnsi="Cambria Math"/>
          </w:rPr>
          <m:t xml:space="preserve">=</m:t>
        </m:r>
        <m:r>
          <w:rPr>
            <w:rFonts w:ascii="Cambria Math" w:hAnsi="Cambria Math"/>
          </w:rPr>
          <m:t xml:space="preserve">a</m:t>
        </m:r>
        <m:sSup>
          <m:e>
            <m:r>
              <w:rPr>
                <w:rFonts w:ascii="Cambria Math" w:hAnsi="Cambria Math"/>
              </w:rPr>
              <m:t xml:space="preserve">H</m:t>
            </m:r>
          </m:e>
          <m:sup>
            <m:r>
              <w:rPr>
                <w:rFonts w:ascii="Cambria Math" w:hAnsi="Cambria Math"/>
              </w:rPr>
              <m:t xml:space="preserve">b</m:t>
            </m:r>
          </m:sup>
        </m:sSup>
        <m:r>
          <w:rPr>
            <w:rFonts w:ascii="Cambria Math" w:hAnsi="Cambria Math"/>
          </w:rPr>
          <m:t xml:space="preserve">wherea</m:t>
        </m:r>
        <m:r>
          <w:rPr>
            <w:rFonts w:ascii="Cambria Math" w:hAnsi="Cambria Math"/>
          </w:rPr>
          <m:t xml:space="preserve">=</m:t>
        </m:r>
        <m:rad>
          <m:radPr>
            <m:degHide m:val="1"/>
          </m:radPr>
          <m:deg/>
          <m:e>
            <m:f>
              <m:num>
                <m:r>
                  <w:rPr>
                    <w:rFonts w:ascii="Cambria Math" w:hAnsi="Cambria Math"/>
                  </w:rPr>
                  <m:t xml:space="preserve">g</m:t>
                </m:r>
              </m:num>
              <m:den>
                <m:sSub>
                  <m:e>
                    <m:r>
                      <w:rPr>
                        <w:rFonts w:ascii="Cambria Math" w:hAnsi="Cambria Math"/>
                      </w:rPr>
                      <m:t xml:space="preserve">C</m:t>
                    </m:r>
                  </m:e>
                  <m:sub>
                    <m:r>
                      <w:rPr>
                        <w:rFonts w:ascii="Cambria Math" w:hAnsi="Cambria Math"/>
                      </w:rPr>
                      <m:t xml:space="preserve">d</m:t>
                    </m:r>
                  </m:sub>
                </m:sSub>
              </m:den>
            </m:f>
            <m:sSup>
              <m:e>
                <m:r>
                  <w:rPr>
                    <w:rFonts w:ascii="Cambria Math" w:hAnsi="Cambria Math"/>
                  </w:rPr>
                  <m:t xml:space="preserve">H</m:t>
                </m:r>
              </m:e>
              <m:sup>
                <m:r>
                  <w:rPr>
                    <w:rFonts w:ascii="Cambria Math" w:hAnsi="Cambria Math"/>
                  </w:rPr>
                  <m:t xml:space="preserve">3</m:t>
                </m:r>
              </m:sup>
            </m:sSup>
            <m:d>
              <m:dPr>
                <m:begChr m:val="|"/>
                <m:endChr m:val="|"/>
              </m:dPr>
              <m:e>
                <m:f>
                  <m:num>
                    <m:r>
                      <w:rPr>
                        <w:rFonts w:ascii="Cambria Math" w:hAnsi="Cambria Math"/>
                      </w:rPr>
                      <m:t xml:space="preserve">∂</m:t>
                    </m:r>
                    <m:r>
                      <w:rPr>
                        <w:rFonts w:ascii="Cambria Math" w:hAnsi="Cambria Math"/>
                      </w:rPr>
                      <m:t xml:space="preserve">b</m:t>
                    </m:r>
                  </m:num>
                  <m:den>
                    <m:r>
                      <w:rPr>
                        <w:rFonts w:ascii="Cambria Math" w:hAnsi="Cambria Math"/>
                      </w:rPr>
                      <m:t xml:space="preserve">∂</m:t>
                    </m:r>
                    <m:r>
                      <w:rPr>
                        <w:rFonts w:ascii="Cambria Math" w:hAnsi="Cambria Math"/>
                      </w:rPr>
                      <m:t xml:space="preserve">x</m:t>
                    </m:r>
                  </m:den>
                </m:f>
              </m:e>
            </m:d>
          </m:e>
        </m:rad>
        <m:r>
          <w:rPr>
            <w:rFonts w:ascii="Cambria Math" w:hAnsi="Cambria Math"/>
          </w:rPr>
          <m:t xml:space="preserve">∧</m:t>
        </m:r>
        <m:r>
          <w:rPr>
            <w:rFonts w:ascii="Cambria Math" w:hAnsi="Cambria Math"/>
          </w:rPr>
          <m:t xml:space="preserve">b</m:t>
        </m:r>
        <m:r>
          <w:rPr>
            <w:rFonts w:ascii="Cambria Math" w:hAnsi="Cambria Math"/>
          </w:rPr>
          <m:t xml:space="preserve">=</m:t>
        </m:r>
        <m:f>
          <m:num>
            <m:r>
              <w:rPr>
                <w:rFonts w:ascii="Cambria Math" w:hAnsi="Cambria Math"/>
              </w:rPr>
              <m:t xml:space="preserve">3</m:t>
            </m:r>
          </m:num>
          <m:den>
            <m:r>
              <w:rPr>
                <w:rFonts w:ascii="Cambria Math" w:hAnsi="Cambria Math"/>
              </w:rPr>
              <m:t xml:space="preserve">2</m:t>
            </m:r>
          </m:den>
        </m:f>
      </m:oMath>
    </w:p>
    <w:p>
      <w:pPr>
        <w:pStyle w:val="Normal"/>
        <w:jc w:val="center"/>
        <w:rPr>
          <w:rFonts w:ascii="Cambria Math" w:hAnsi="Cambria Math" w:eastAsia="Cambria Math" w:cs="Cambria Math"/>
        </w:rPr>
      </w:pPr>
      <w:r>
        <w:rPr>
          <w:rFonts w:eastAsia="Cambria Math" w:cs="Cambria Math" w:ascii="Cambria Math" w:hAnsi="Cambria Math"/>
        </w:rPr>
      </w:r>
    </w:p>
    <w:p>
      <w:pPr>
        <w:pStyle w:val="Normal"/>
        <w:jc w:val="both"/>
        <w:rPr/>
      </w:pPr>
      <w:r>
        <w:rPr>
          <w:rFonts w:eastAsia="Calibri" w:cs="Calibri" w:ascii="Calibri" w:hAnsi="Calibri"/>
        </w:rPr>
        <w:t xml:space="preserve">La valeur du coefficient </w:t>
      </w:r>
      <w:r>
        <w:rPr>
          <w:rFonts w:eastAsia="Calibri" w:cs="Calibri" w:ascii="Calibri" w:hAnsi="Calibri"/>
          <w:i/>
        </w:rPr>
        <w:t xml:space="preserve">b </w:t>
      </w:r>
      <w:r>
        <w:rPr>
          <w:rFonts w:eastAsia="Calibri" w:cs="Calibri" w:ascii="Calibri" w:hAnsi="Calibri"/>
        </w:rPr>
        <w:t>est la conséquence de l'hypothèse d'une forme rectangulaire traversant la rivière. Dans le cas d'une forme trapézoïdale, ce coefficient serait plus élevé que cela, car la largeur effective de la rivière augmente lorsque H augmente (permettant ainsi un débit D plus important pour un H donné par rapport à une forme rectangulaire). C'est le cas de l'étalonnage de La Réole, pour lequel le coefficient b est d'environ 1,675.</w:t>
      </w:r>
    </w:p>
    <w:p>
      <w:pPr>
        <w:pStyle w:val="Normal"/>
        <w:jc w:val="both"/>
        <w:rPr>
          <w:rFonts w:ascii="Calibri" w:hAnsi="Calibri" w:eastAsia="Calibri" w:cs="Calibri"/>
        </w:rPr>
      </w:pPr>
      <w:r>
        <w:rPr>
          <w:rFonts w:eastAsia="Calibri" w:cs="Calibri" w:ascii="Calibri" w:hAnsi="Calibri"/>
        </w:rPr>
      </w:r>
    </w:p>
    <w:p>
      <w:pPr>
        <w:pStyle w:val="Normal"/>
        <w:jc w:val="both"/>
        <w:rPr>
          <w:rFonts w:ascii="Calibri" w:hAnsi="Calibri" w:eastAsia="Calibri" w:cs="Calibri"/>
        </w:rPr>
      </w:pPr>
      <w:r>
        <w:rPr>
          <w:rFonts w:eastAsia="Calibri" w:cs="Calibri" w:ascii="Calibri" w:hAnsi="Calibri"/>
        </w:rPr>
        <w:t>Nota:</w:t>
      </w:r>
    </w:p>
    <w:p>
      <w:pPr>
        <w:pStyle w:val="Normal"/>
        <w:jc w:val="both"/>
        <w:rPr>
          <w:rFonts w:ascii="Calibri" w:hAnsi="Calibri" w:eastAsia="Calibri" w:cs="Calibri"/>
        </w:rPr>
      </w:pPr>
      <w:r>
        <w:rPr>
          <w:rFonts w:eastAsia="Calibri" w:cs="Calibri" w:ascii="Calibri" w:hAnsi="Calibri"/>
        </w:rPr>
      </w:r>
    </w:p>
    <w:p>
      <w:pPr>
        <w:pStyle w:val="Normal"/>
        <w:jc w:val="both"/>
        <w:rPr>
          <w:rFonts w:ascii="Calibri" w:hAnsi="Calibri" w:eastAsia="Calibri" w:cs="Calibri"/>
        </w:rPr>
      </w:pPr>
      <w:r>
        <w:rPr>
          <w:rFonts w:eastAsia="Calibri" w:cs="Calibri" w:ascii="Calibri" w:hAnsi="Calibri"/>
        </w:rPr>
        <w:t>Il est possible de formuler l’équation XXX en fonction uniquement de H, b et D donnés, même dans le cas où on prendrait en compte l’advection et une diffusion horizontale. Il suffit de remarquer que l’équation de continuité nous permet d’exprimer la dérivée spatiale de u (au premier et donc deuxième ordre également) en fonction des 3 paramètres susnommés :</w:t>
      </w:r>
    </w:p>
    <w:p>
      <w:pPr>
        <w:pStyle w:val="Normal"/>
        <w:jc w:val="both"/>
        <w:rPr>
          <w:rFonts w:ascii="Calibri" w:hAnsi="Calibri" w:eastAsia="Calibri" w:cs="Calibri"/>
        </w:rPr>
      </w:pPr>
      <w:r>
        <w:rPr>
          <w:rFonts w:eastAsia="Calibri" w:cs="Calibri" w:ascii="Calibri" w:hAnsi="Calibri"/>
        </w:rPr>
      </w:r>
    </w:p>
    <w:p>
      <w:pPr>
        <w:pStyle w:val="Normal"/>
        <w:jc w:val="both"/>
        <w:rPr/>
      </w:pPr>
      <w:r>
        <w:rPr/>
      </w:r>
      <m:oMath xmlns:m="http://schemas.openxmlformats.org/officeDocument/2006/math">
        <m:f>
          <m:num>
            <m:r>
              <w:rPr>
                <w:rFonts w:ascii="Cambria Math" w:hAnsi="Cambria Math"/>
              </w:rPr>
              <m:t xml:space="preserve">∂</m:t>
            </m:r>
            <m:r>
              <w:rPr>
                <w:rFonts w:ascii="Cambria Math" w:hAnsi="Cambria Math"/>
              </w:rPr>
              <m:t xml:space="preserve">Hu</m:t>
            </m:r>
          </m:num>
          <m:den>
            <m:r>
              <w:rPr>
                <w:rFonts w:ascii="Cambria Math" w:hAnsi="Cambria Math"/>
              </w:rPr>
              <m:t xml:space="preserve">∂</m:t>
            </m:r>
            <m:r>
              <w:rPr>
                <w:rFonts w:ascii="Cambria Math" w:hAnsi="Cambria Math"/>
              </w:rPr>
              <m:t xml:space="preserve">x</m:t>
            </m:r>
          </m:den>
        </m:f>
        <m:r>
          <w:rPr>
            <w:rFonts w:ascii="Cambria Math" w:hAnsi="Cambria Math"/>
          </w:rPr>
          <m:t xml:space="preserve">=</m:t>
        </m:r>
        <m:r>
          <w:rPr>
            <w:rFonts w:ascii="Cambria Math" w:hAnsi="Cambria Math"/>
          </w:rPr>
          <m:t xml:space="preserve">0</m:t>
        </m:r>
        <m:r>
          <w:rPr>
            <w:rFonts w:ascii="Cambria Math" w:hAnsi="Cambria Math"/>
          </w:rPr>
          <m:t xml:space="preserve">→</m:t>
        </m:r>
        <m:f>
          <m:num>
            <m:r>
              <w:rPr>
                <w:rFonts w:ascii="Cambria Math" w:hAnsi="Cambria Math"/>
              </w:rPr>
              <m:t xml:space="preserve">∂</m:t>
            </m:r>
            <m:r>
              <w:rPr>
                <w:rFonts w:ascii="Cambria Math" w:hAnsi="Cambria Math"/>
              </w:rPr>
              <m:t xml:space="preserve">u</m:t>
            </m:r>
          </m:num>
          <m:den>
            <m:r>
              <w:rPr>
                <w:rFonts w:ascii="Cambria Math" w:hAnsi="Cambria Math"/>
              </w:rPr>
              <m:t xml:space="preserve">∂</m:t>
            </m:r>
            <m:r>
              <w:rPr>
                <w:rFonts w:ascii="Cambria Math" w:hAnsi="Cambria Math"/>
              </w:rPr>
              <m:t xml:space="preserve">x</m:t>
            </m:r>
          </m:den>
        </m:f>
        <m:r>
          <w:rPr>
            <w:rFonts w:ascii="Cambria Math" w:hAnsi="Cambria Math"/>
          </w:rPr>
          <m:t xml:space="preserve">=</m:t>
        </m:r>
        <m:f>
          <m:num>
            <m:r>
              <w:rPr>
                <w:rFonts w:ascii="Cambria Math" w:hAnsi="Cambria Math"/>
              </w:rPr>
              <m:t xml:space="preserve">−</m:t>
            </m:r>
            <m:r>
              <w:rPr>
                <w:rFonts w:ascii="Cambria Math" w:hAnsi="Cambria Math"/>
              </w:rPr>
              <m:t xml:space="preserve">u</m:t>
            </m:r>
          </m:num>
          <m:den>
            <m:r>
              <w:rPr>
                <w:rFonts w:ascii="Cambria Math" w:hAnsi="Cambria Math"/>
              </w:rPr>
              <m:t xml:space="preserve">H</m:t>
            </m:r>
          </m:den>
        </m:f>
        <m:f>
          <m:num>
            <m:r>
              <w:rPr>
                <w:rFonts w:ascii="Cambria Math" w:hAnsi="Cambria Math"/>
              </w:rPr>
              <m:t xml:space="preserve">∂</m:t>
            </m:r>
            <m:r>
              <w:rPr>
                <w:rFonts w:ascii="Cambria Math" w:hAnsi="Cambria Math"/>
              </w:rPr>
              <m:t xml:space="preserve">H</m:t>
            </m:r>
          </m:num>
          <m:den>
            <m:r>
              <w:rPr>
                <w:rFonts w:ascii="Cambria Math" w:hAnsi="Cambria Math"/>
              </w:rPr>
              <m:t xml:space="preserve">∂</m:t>
            </m:r>
            <m:r>
              <w:rPr>
                <w:rFonts w:ascii="Cambria Math" w:hAnsi="Cambria Math"/>
              </w:rPr>
              <m:t xml:space="preserve">x</m:t>
            </m:r>
          </m:den>
        </m:f>
        <m:r>
          <w:rPr>
            <w:rFonts w:ascii="Cambria Math" w:hAnsi="Cambria Math"/>
          </w:rPr>
          <m:t xml:space="preserve">=</m:t>
        </m:r>
        <m:f>
          <m:num>
            <m:r>
              <w:rPr>
                <w:rFonts w:ascii="Cambria Math" w:hAnsi="Cambria Math"/>
              </w:rPr>
              <m:t xml:space="preserve">−</m:t>
            </m:r>
            <m:r>
              <w:rPr>
                <w:rFonts w:ascii="Cambria Math" w:hAnsi="Cambria Math"/>
              </w:rPr>
              <m:t xml:space="preserve">D</m:t>
            </m:r>
          </m:num>
          <m:den>
            <m:sSup>
              <m:e>
                <m:r>
                  <w:rPr>
                    <w:rFonts w:ascii="Cambria Math" w:hAnsi="Cambria Math"/>
                  </w:rPr>
                  <m:t xml:space="preserve">H</m:t>
                </m:r>
              </m:e>
              <m:sup>
                <m:r>
                  <w:rPr>
                    <w:rFonts w:ascii="Cambria Math" w:hAnsi="Cambria Math"/>
                  </w:rPr>
                  <m:t xml:space="preserve">2</m:t>
                </m:r>
              </m:sup>
            </m:sSup>
          </m:den>
        </m:f>
        <m:f>
          <m:num>
            <m:r>
              <w:rPr>
                <w:rFonts w:ascii="Cambria Math" w:hAnsi="Cambria Math"/>
              </w:rPr>
              <m:t xml:space="preserve">∂</m:t>
            </m:r>
            <m:r>
              <w:rPr>
                <w:rFonts w:ascii="Cambria Math" w:hAnsi="Cambria Math"/>
              </w:rPr>
              <m:t xml:space="preserve">H</m:t>
            </m:r>
          </m:num>
          <m:den>
            <m:r>
              <w:rPr>
                <w:rFonts w:ascii="Cambria Math" w:hAnsi="Cambria Math"/>
              </w:rPr>
              <m:t xml:space="preserve">∂</m:t>
            </m:r>
            <m:r>
              <w:rPr>
                <w:rFonts w:ascii="Cambria Math" w:hAnsi="Cambria Math"/>
              </w:rPr>
              <m:t xml:space="preserve">x</m:t>
            </m:r>
          </m:den>
        </m:f>
      </m:oMath>
    </w:p>
    <w:p>
      <w:pPr>
        <w:pStyle w:val="Normal"/>
        <w:jc w:val="both"/>
        <w:rPr>
          <w:rFonts w:ascii="Calibri" w:hAnsi="Calibri" w:eastAsia="Calibri" w:cs="Calibri"/>
        </w:rPr>
      </w:pPr>
      <w:r>
        <w:rPr>
          <w:rFonts w:eastAsia="Calibri" w:cs="Calibri" w:ascii="Calibri" w:hAnsi="Calibri"/>
        </w:rPr>
      </w:r>
    </w:p>
    <w:p>
      <w:pPr>
        <w:pStyle w:val="Normal"/>
        <w:jc w:val="both"/>
        <w:rPr>
          <w:rFonts w:ascii="Calibri" w:hAnsi="Calibri" w:eastAsia="Calibri" w:cs="Calibri"/>
          <w:b/>
          <w:b/>
        </w:rPr>
      </w:pPr>
      <w:r>
        <w:rPr>
          <w:rFonts w:eastAsia="Calibri" w:cs="Calibri" w:ascii="Calibri" w:hAnsi="Calibri"/>
          <w:b/>
        </w:rPr>
        <w:t>Cas général (pente variable du lit fluvial, en dimension limitée)</w:t>
      </w:r>
    </w:p>
    <w:p>
      <w:pPr>
        <w:pStyle w:val="Normal"/>
        <w:jc w:val="both"/>
        <w:rPr>
          <w:rFonts w:ascii="Calibri" w:hAnsi="Calibri" w:eastAsia="Calibri" w:cs="Calibri"/>
        </w:rPr>
      </w:pPr>
      <w:r>
        <w:rPr>
          <w:rFonts w:eastAsia="Calibri" w:cs="Calibri" w:ascii="Calibri" w:hAnsi="Calibri"/>
        </w:rPr>
      </w:r>
    </w:p>
    <w:p>
      <w:pPr>
        <w:pStyle w:val="Normal"/>
        <w:jc w:val="both"/>
        <w:rPr>
          <w:rFonts w:ascii="Calibri" w:hAnsi="Calibri" w:eastAsia="Calibri" w:cs="Calibri"/>
        </w:rPr>
      </w:pPr>
      <w:r>
        <w:rPr>
          <w:rFonts w:eastAsia="Calibri" w:cs="Calibri" w:ascii="Calibri" w:hAnsi="Calibri"/>
        </w:rPr>
        <w:t>Une configuration de rivière académique (profil a été développé pour étudier sommairement les états d’équilibre comme fonction de la rugosité du lit de la rivière. Le profil  du lit de la rivière a été scindé en trois sections, avec la pente maximale prescrite pour la partie centrale et une déclivité moyenne de 10m pour 70km. Cette configuration s’apparente partiellement à la portion de la Garonne entre La Réole et Langon. Les équations de l’écoulement sont les équations 2D-V incluant l’advection et une diffusion horizontale :</w:t>
      </w:r>
    </w:p>
    <w:p>
      <w:pPr>
        <w:pStyle w:val="Normal"/>
        <w:rPr>
          <w:rFonts w:ascii="Calibri" w:hAnsi="Calibri" w:eastAsia="Calibri" w:cs="Calibri"/>
        </w:rPr>
      </w:pPr>
      <w:r>
        <w:rPr>
          <w:rFonts w:eastAsia="Calibri" w:cs="Calibri" w:ascii="Calibri" w:hAnsi="Calibri"/>
        </w:rPr>
      </w:r>
    </w:p>
    <w:p>
      <w:pPr>
        <w:pStyle w:val="Normal"/>
        <w:jc w:val="center"/>
        <w:rPr/>
      </w:pPr>
      <w:r>
        <w:rPr/>
      </w:r>
      <m:oMath xmlns:m="http://schemas.openxmlformats.org/officeDocument/2006/math">
        <m:f>
          <m:num>
            <m:r>
              <w:rPr>
                <w:rFonts w:ascii="Cambria Math" w:hAnsi="Cambria Math"/>
              </w:rPr>
              <m:t xml:space="preserve">∂</m:t>
            </m:r>
            <m:r>
              <w:rPr>
                <w:rFonts w:ascii="Cambria Math" w:hAnsi="Cambria Math"/>
              </w:rPr>
              <m:t xml:space="preserve">u</m:t>
            </m:r>
          </m:num>
          <m:den>
            <m:r>
              <w:rPr>
                <w:rFonts w:ascii="Cambria Math" w:hAnsi="Cambria Math"/>
              </w:rPr>
              <m:t xml:space="preserve">∂</m:t>
            </m:r>
            <m:r>
              <w:rPr>
                <w:rFonts w:ascii="Cambria Math" w:hAnsi="Cambria Math"/>
              </w:rPr>
              <m:t xml:space="preserve">t</m:t>
            </m:r>
          </m:den>
        </m:f>
        <m:r>
          <w:rPr>
            <w:rFonts w:ascii="Cambria Math" w:hAnsi="Cambria Math"/>
          </w:rPr>
          <m:t xml:space="preserve">+</m:t>
        </m:r>
        <m:r>
          <w:rPr>
            <w:rFonts w:ascii="Cambria Math" w:hAnsi="Cambria Math"/>
          </w:rPr>
          <m:t xml:space="preserve">u</m:t>
        </m:r>
        <m:f>
          <m:num>
            <m:r>
              <w:rPr>
                <w:rFonts w:ascii="Cambria Math" w:hAnsi="Cambria Math"/>
              </w:rPr>
              <m:t xml:space="preserve">∂</m:t>
            </m:r>
            <m:r>
              <w:rPr>
                <w:rFonts w:ascii="Cambria Math" w:hAnsi="Cambria Math"/>
              </w:rPr>
              <m:t xml:space="preserve">u</m:t>
            </m:r>
          </m:num>
          <m:den>
            <m:r>
              <w:rPr>
                <w:rFonts w:ascii="Cambria Math" w:hAnsi="Cambria Math"/>
              </w:rPr>
              <m:t xml:space="preserve">∂</m:t>
            </m:r>
            <m:r>
              <w:rPr>
                <w:rFonts w:ascii="Cambria Math" w:hAnsi="Cambria Math"/>
              </w:rPr>
              <m:t xml:space="preserve">x</m:t>
            </m:r>
          </m:den>
        </m:f>
        <m:r>
          <w:rPr>
            <w:rFonts w:ascii="Cambria Math" w:hAnsi="Cambria Math"/>
          </w:rPr>
          <m:t xml:space="preserve">=</m:t>
        </m:r>
        <m:r>
          <w:rPr>
            <w:rFonts w:ascii="Cambria Math" w:hAnsi="Cambria Math"/>
          </w:rPr>
          <m:t xml:space="preserve">−</m:t>
        </m:r>
        <m:r>
          <w:rPr>
            <w:rFonts w:ascii="Cambria Math" w:hAnsi="Cambria Math"/>
          </w:rPr>
          <m:t xml:space="preserve">g</m:t>
        </m:r>
        <m:f>
          <m:num>
            <m:r>
              <w:rPr>
                <w:rFonts w:ascii="Cambria Math" w:hAnsi="Cambria Math"/>
              </w:rPr>
              <m:t xml:space="preserve">∂</m:t>
            </m:r>
            <m:r>
              <w:rPr>
                <w:rFonts w:ascii="Cambria Math" w:hAnsi="Cambria Math"/>
              </w:rPr>
              <m:t xml:space="preserve">η</m:t>
            </m:r>
          </m:num>
          <m:den>
            <m:r>
              <w:rPr>
                <w:rFonts w:ascii="Cambria Math" w:hAnsi="Cambria Math"/>
              </w:rPr>
              <m:t xml:space="preserve">∂</m:t>
            </m:r>
            <m:r>
              <w:rPr>
                <w:rFonts w:ascii="Cambria Math" w:hAnsi="Cambria Math"/>
              </w:rPr>
              <m:t xml:space="preserve">x</m:t>
            </m:r>
          </m:den>
        </m:f>
        <m:r>
          <w:rPr>
            <w:rFonts w:ascii="Cambria Math" w:hAnsi="Cambria Math"/>
          </w:rPr>
          <m:t xml:space="preserve">−</m:t>
        </m:r>
        <m:f>
          <m:num>
            <m:sSub>
              <m:e>
                <m:r>
                  <w:rPr>
                    <w:rFonts w:ascii="Cambria Math" w:hAnsi="Cambria Math"/>
                  </w:rPr>
                  <m:t xml:space="preserve">C</m:t>
                </m:r>
              </m:e>
              <m:sub>
                <m:r>
                  <w:rPr>
                    <w:rFonts w:ascii="Cambria Math" w:hAnsi="Cambria Math"/>
                  </w:rPr>
                  <m:t xml:space="preserve">d</m:t>
                </m:r>
              </m:sub>
            </m:sSub>
          </m:num>
          <m:den>
            <m:r>
              <w:rPr>
                <w:rFonts w:ascii="Cambria Math" w:hAnsi="Cambria Math"/>
              </w:rPr>
              <m:t xml:space="preserve">H</m:t>
            </m:r>
          </m:den>
        </m:f>
        <m:d>
          <m:dPr>
            <m:begChr m:val="‖"/>
            <m:endChr m:val="‖"/>
          </m:dPr>
          <m:e>
            <m:r>
              <w:rPr>
                <w:rFonts w:ascii="Cambria Math" w:hAnsi="Cambria Math"/>
              </w:rPr>
              <m:t xml:space="preserve">u</m:t>
            </m:r>
          </m:e>
        </m:d>
        <m:r>
          <w:rPr>
            <w:rFonts w:ascii="Cambria Math" w:hAnsi="Cambria Math"/>
          </w:rPr>
          <m:t xml:space="preserve">u</m:t>
        </m:r>
        <m:r>
          <w:rPr>
            <w:rFonts w:ascii="Cambria Math" w:hAnsi="Cambria Math"/>
          </w:rPr>
          <m:t xml:space="preserve">+</m:t>
        </m:r>
        <m:r>
          <w:rPr>
            <w:rFonts w:ascii="Cambria Math" w:hAnsi="Cambria Math"/>
          </w:rPr>
          <m:t xml:space="preserve">κ</m:t>
        </m:r>
        <m:f>
          <m:num>
            <m:sSup>
              <m:e>
                <m:r>
                  <w:rPr>
                    <w:rFonts w:ascii="Cambria Math" w:hAnsi="Cambria Math"/>
                  </w:rPr>
                  <m:t xml:space="preserve">∂</m:t>
                </m:r>
              </m:e>
              <m:sup>
                <m:r>
                  <w:rPr>
                    <w:rFonts w:ascii="Cambria Math" w:hAnsi="Cambria Math"/>
                  </w:rPr>
                  <m:t xml:space="preserve">2</m:t>
                </m:r>
              </m:sup>
            </m:sSup>
            <m:r>
              <w:rPr>
                <w:rFonts w:ascii="Cambria Math" w:hAnsi="Cambria Math"/>
              </w:rPr>
              <m:t xml:space="preserve">u</m:t>
            </m:r>
          </m:num>
          <m:den>
            <m:r>
              <w:rPr>
                <w:rFonts w:ascii="Cambria Math" w:hAnsi="Cambria Math"/>
              </w:rPr>
              <m:t xml:space="preserve">∂</m:t>
            </m:r>
            <m:sSup>
              <m:e>
                <m:r>
                  <w:rPr>
                    <w:rFonts w:ascii="Cambria Math" w:hAnsi="Cambria Math"/>
                  </w:rPr>
                  <m:t xml:space="preserve">x</m:t>
                </m:r>
              </m:e>
              <m:sup>
                <m:r>
                  <w:rPr>
                    <w:rFonts w:ascii="Cambria Math" w:hAnsi="Cambria Math"/>
                  </w:rPr>
                  <m:t xml:space="preserve">2</m:t>
                </m:r>
              </m:sup>
            </m:sSup>
          </m:den>
        </m:f>
      </m:oMath>
    </w:p>
    <w:p>
      <w:pPr>
        <w:pStyle w:val="Normal"/>
        <w:rPr>
          <w:rFonts w:ascii="Calibri" w:hAnsi="Calibri" w:eastAsia="Calibri" w:cs="Calibri"/>
        </w:rPr>
      </w:pPr>
      <w:r>
        <w:rPr>
          <w:rFonts w:eastAsia="Calibri" w:cs="Calibri" w:ascii="Calibri" w:hAnsi="Calibri"/>
        </w:rPr>
      </w:r>
    </w:p>
    <w:p>
      <w:pPr>
        <w:pStyle w:val="Normal"/>
        <w:rPr/>
      </w:pPr>
      <w:r>
        <w:rPr/>
      </w:r>
      <m:oMath xmlns:m="http://schemas.openxmlformats.org/officeDocument/2006/math">
        <m:f>
          <m:num>
            <m:r>
              <w:rPr>
                <w:rFonts w:ascii="Cambria Math" w:hAnsi="Cambria Math"/>
              </w:rPr>
              <m:t xml:space="preserve">∂</m:t>
            </m:r>
            <m:r>
              <w:rPr>
                <w:rFonts w:ascii="Cambria Math" w:hAnsi="Cambria Math"/>
              </w:rPr>
              <m:t xml:space="preserve">H</m:t>
            </m:r>
          </m:num>
          <m:den>
            <m:r>
              <w:rPr>
                <w:rFonts w:ascii="Cambria Math" w:hAnsi="Cambria Math"/>
              </w:rPr>
              <m:t xml:space="preserve">∂</m:t>
            </m:r>
            <m:r>
              <w:rPr>
                <w:rFonts w:ascii="Cambria Math" w:hAnsi="Cambria Math"/>
              </w:rPr>
              <m:t xml:space="preserve">t</m:t>
            </m:r>
          </m:den>
        </m:f>
        <m:r>
          <w:rPr>
            <w:rFonts w:ascii="Cambria Math" w:hAnsi="Cambria Math"/>
          </w:rPr>
          <m:t xml:space="preserve">+</m:t>
        </m:r>
        <m:f>
          <m:num>
            <m:r>
              <w:rPr>
                <w:rFonts w:ascii="Cambria Math" w:hAnsi="Cambria Math"/>
              </w:rPr>
              <m:t xml:space="preserve">∂</m:t>
            </m:r>
            <m:r>
              <w:rPr>
                <w:rFonts w:ascii="Cambria Math" w:hAnsi="Cambria Math"/>
              </w:rPr>
              <m:t xml:space="preserve">Hu</m:t>
            </m:r>
          </m:num>
          <m:den>
            <m:r>
              <w:rPr>
                <w:rFonts w:ascii="Cambria Math" w:hAnsi="Cambria Math"/>
              </w:rPr>
              <m:t xml:space="preserve">∂</m:t>
            </m:r>
            <m:r>
              <w:rPr>
                <w:rFonts w:ascii="Cambria Math" w:hAnsi="Cambria Math"/>
              </w:rPr>
              <m:t xml:space="preserve">x</m:t>
            </m:r>
          </m:den>
        </m:f>
        <m:r>
          <w:rPr>
            <w:rFonts w:ascii="Cambria Math" w:hAnsi="Cambria Math"/>
          </w:rPr>
          <m:t xml:space="preserve">=</m:t>
        </m:r>
        <m:r>
          <w:rPr>
            <w:rFonts w:ascii="Cambria Math" w:hAnsi="Cambria Math"/>
          </w:rPr>
          <m:t xml:space="preserve">0</m:t>
        </m:r>
      </m:oMath>
    </w:p>
    <w:p>
      <w:pPr>
        <w:pStyle w:val="Normal"/>
        <w:rPr>
          <w:rFonts w:ascii="Calibri" w:hAnsi="Calibri" w:eastAsia="Calibri" w:cs="Calibri"/>
        </w:rPr>
      </w:pPr>
      <w:r>
        <w:rPr>
          <w:rFonts w:eastAsia="Calibri" w:cs="Calibri" w:ascii="Calibri" w:hAnsi="Calibri"/>
        </w:rPr>
      </w:r>
    </w:p>
    <w:p>
      <w:pPr>
        <w:pStyle w:val="Normal"/>
        <w:rPr>
          <w:rFonts w:ascii="Calibri" w:hAnsi="Calibri" w:eastAsia="Calibri" w:cs="Calibri"/>
        </w:rPr>
      </w:pPr>
      <w:r>
        <w:rPr>
          <w:rFonts w:eastAsia="Calibri" w:cs="Calibri" w:ascii="Calibri" w:hAnsi="Calibri"/>
        </w:rPr>
        <w:t>Le coefficient de diffusion horizontal est déterminé par la paramétrisation de Smagorinsky :</w:t>
      </w:r>
    </w:p>
    <w:p>
      <w:pPr>
        <w:pStyle w:val="Normal"/>
        <w:rPr/>
      </w:pPr>
      <w:r>
        <w:rPr/>
      </w:r>
      <m:oMath xmlns:m="http://schemas.openxmlformats.org/officeDocument/2006/math">
        <m:r>
          <w:rPr>
            <w:rFonts w:ascii="Cambria Math" w:hAnsi="Cambria Math"/>
          </w:rPr>
          <m:t xml:space="preserve">κ</m:t>
        </m:r>
        <m:r>
          <w:rPr>
            <w:rFonts w:ascii="Cambria Math" w:hAnsi="Cambria Math"/>
          </w:rPr>
          <m:t xml:space="preserve">=</m:t>
        </m:r>
        <m:r>
          <w:rPr>
            <w:rFonts w:ascii="Cambria Math" w:hAnsi="Cambria Math"/>
          </w:rPr>
          <m:t xml:space="preserve">0.1</m:t>
        </m:r>
        <m:f>
          <m:num>
            <m:r>
              <w:rPr>
                <w:rFonts w:ascii="Cambria Math" w:hAnsi="Cambria Math"/>
              </w:rPr>
              <m:t xml:space="preserve">∂</m:t>
            </m:r>
            <m:r>
              <w:rPr>
                <w:rFonts w:ascii="Cambria Math" w:hAnsi="Cambria Math"/>
              </w:rPr>
              <m:t xml:space="preserve">u</m:t>
            </m:r>
          </m:num>
          <m:den>
            <m:r>
              <w:rPr>
                <w:rFonts w:ascii="Cambria Math" w:hAnsi="Cambria Math"/>
              </w:rPr>
              <m:t xml:space="preserve">∂</m:t>
            </m:r>
            <m:r>
              <w:rPr>
                <w:rFonts w:ascii="Cambria Math" w:hAnsi="Cambria Math"/>
              </w:rPr>
              <m:t xml:space="preserve">x</m:t>
            </m:r>
          </m:den>
        </m:f>
      </m:oMath>
    </w:p>
    <w:p>
      <w:pPr>
        <w:pStyle w:val="Normal"/>
        <w:rPr>
          <w:rFonts w:ascii="Calibri" w:hAnsi="Calibri" w:eastAsia="Calibri" w:cs="Calibri"/>
        </w:rPr>
      </w:pPr>
      <w:r>
        <w:rPr>
          <w:rFonts w:eastAsia="Calibri" w:cs="Calibri" w:ascii="Calibri" w:hAnsi="Calibri"/>
        </w:rPr>
        <w:t>La discrétisation numérique temporelle choisie est de type forward pour des raisons de simplicité de codage :</w:t>
      </w:r>
    </w:p>
    <w:p>
      <w:pPr>
        <w:pStyle w:val="Normal"/>
        <w:rPr>
          <w:rFonts w:ascii="Calibri" w:hAnsi="Calibri" w:eastAsia="Calibri" w:cs="Calibri"/>
        </w:rPr>
      </w:pPr>
      <w:r>
        <w:rPr>
          <w:rFonts w:eastAsia="Calibri" w:cs="Calibri" w:ascii="Calibri" w:hAnsi="Calibri"/>
        </w:rPr>
      </w:r>
    </w:p>
    <w:p>
      <w:pPr>
        <w:pStyle w:val="Normal"/>
        <w:jc w:val="center"/>
        <w:rPr/>
      </w:pPr>
      <w:r>
        <w:rPr/>
      </w:r>
      <m:oMath xmlns:m="http://schemas.openxmlformats.org/officeDocument/2006/math">
        <m:sSub>
          <m:e>
            <m:r>
              <w:rPr>
                <w:rFonts w:ascii="Cambria Math" w:hAnsi="Cambria Math"/>
              </w:rPr>
              <m:t xml:space="preserve">u</m:t>
            </m:r>
          </m:e>
          <m:sub>
            <m:r>
              <w:rPr>
                <w:rFonts w:ascii="Cambria Math" w:hAnsi="Cambria Math"/>
              </w:rPr>
              <m:t xml:space="preserve">n</m:t>
            </m:r>
            <m:r>
              <w:rPr>
                <w:rFonts w:ascii="Cambria Math" w:hAnsi="Cambria Math"/>
              </w:rPr>
              <m:t xml:space="preserve">+</m:t>
            </m:r>
            <m:r>
              <w:rPr>
                <w:rFonts w:ascii="Cambria Math" w:hAnsi="Cambria Math"/>
              </w:rPr>
              <m:t xml:space="preserve">1</m:t>
            </m:r>
          </m:sub>
        </m:sSub>
        <m:d>
          <m:dPr>
            <m:begChr m:val="("/>
            <m:endChr m:val=")"/>
          </m:dPr>
          <m:e>
            <m:f>
              <m:num>
                <m:r>
                  <w:rPr>
                    <w:rFonts w:ascii="Cambria Math" w:hAnsi="Cambria Math"/>
                  </w:rPr>
                  <m:t xml:space="preserve">1</m:t>
                </m:r>
              </m:num>
              <m:den>
                <m:r>
                  <w:rPr>
                    <w:rFonts w:ascii="Cambria Math" w:hAnsi="Cambria Math"/>
                  </w:rPr>
                  <m:t xml:space="preserve">Δt</m:t>
                </m:r>
              </m:den>
            </m:f>
            <m:r>
              <w:rPr>
                <w:rFonts w:ascii="Cambria Math" w:hAnsi="Cambria Math"/>
              </w:rPr>
              <m:t xml:space="preserve">+</m:t>
            </m:r>
            <m:f>
              <m:num>
                <m:r>
                  <w:rPr>
                    <w:rFonts w:ascii="Cambria Math" w:hAnsi="Cambria Math"/>
                  </w:rPr>
                  <m:t xml:space="preserve">∂</m:t>
                </m:r>
                <m:sSub>
                  <m:e>
                    <m:r>
                      <w:rPr>
                        <w:rFonts w:ascii="Cambria Math" w:hAnsi="Cambria Math"/>
                      </w:rPr>
                      <m:t xml:space="preserve">u</m:t>
                    </m:r>
                  </m:e>
                  <m:sub>
                    <m:r>
                      <w:rPr>
                        <w:rFonts w:ascii="Cambria Math" w:hAnsi="Cambria Math"/>
                      </w:rPr>
                      <m:t xml:space="preserve">n</m:t>
                    </m:r>
                  </m:sub>
                </m:sSub>
              </m:num>
              <m:den>
                <m:r>
                  <w:rPr>
                    <w:rFonts w:ascii="Cambria Math" w:hAnsi="Cambria Math"/>
                  </w:rPr>
                  <m:t xml:space="preserve">∂</m:t>
                </m:r>
                <m:r>
                  <w:rPr>
                    <w:rFonts w:ascii="Cambria Math" w:hAnsi="Cambria Math"/>
                  </w:rPr>
                  <m:t xml:space="preserve">x</m:t>
                </m:r>
              </m:den>
            </m:f>
            <m:r>
              <w:rPr>
                <w:rFonts w:ascii="Cambria Math" w:hAnsi="Cambria Math"/>
              </w:rPr>
              <m:t xml:space="preserve">+</m:t>
            </m:r>
            <m:f>
              <m:num>
                <m:sSub>
                  <m:e>
                    <m:r>
                      <w:rPr>
                        <w:rFonts w:ascii="Cambria Math" w:hAnsi="Cambria Math"/>
                      </w:rPr>
                      <m:t xml:space="preserve">C</m:t>
                    </m:r>
                  </m:e>
                  <m:sub>
                    <m:r>
                      <w:rPr>
                        <w:rFonts w:ascii="Cambria Math" w:hAnsi="Cambria Math"/>
                      </w:rPr>
                      <m:t xml:space="preserve">d</m:t>
                    </m:r>
                  </m:sub>
                </m:sSub>
              </m:num>
              <m:den>
                <m:r>
                  <w:rPr>
                    <w:rFonts w:ascii="Cambria Math" w:hAnsi="Cambria Math"/>
                  </w:rPr>
                  <m:t xml:space="preserve">H</m:t>
                </m:r>
              </m:den>
            </m:f>
            <m:d>
              <m:dPr>
                <m:begChr m:val="‖"/>
                <m:endChr m:val="‖"/>
              </m:dPr>
              <m:e>
                <m:sSub>
                  <m:e>
                    <m:r>
                      <w:rPr>
                        <w:rFonts w:ascii="Cambria Math" w:hAnsi="Cambria Math"/>
                      </w:rPr>
                      <m:t xml:space="preserve">u</m:t>
                    </m:r>
                  </m:e>
                  <m:sub>
                    <m:r>
                      <w:rPr>
                        <w:rFonts w:ascii="Cambria Math" w:hAnsi="Cambria Math"/>
                      </w:rPr>
                      <m:t xml:space="preserve">n</m:t>
                    </m:r>
                  </m:sub>
                </m:sSub>
              </m:e>
            </m:d>
          </m:e>
        </m:d>
        <m:r>
          <w:rPr>
            <w:rFonts w:ascii="Cambria Math" w:hAnsi="Cambria Math"/>
          </w:rPr>
          <m:t xml:space="preserve">=</m:t>
        </m:r>
        <m:f>
          <m:num>
            <m:r>
              <w:rPr>
                <w:rFonts w:ascii="Cambria Math" w:hAnsi="Cambria Math"/>
              </w:rPr>
              <m:t xml:space="preserve">1</m:t>
            </m:r>
          </m:num>
          <m:den>
            <m:r>
              <w:rPr>
                <w:rFonts w:ascii="Cambria Math" w:hAnsi="Cambria Math"/>
              </w:rPr>
              <m:t xml:space="preserve">Δt</m:t>
            </m:r>
          </m:den>
        </m:f>
        <m:sSub>
          <m:e>
            <m:r>
              <w:rPr>
                <w:rFonts w:ascii="Cambria Math" w:hAnsi="Cambria Math"/>
              </w:rPr>
              <m:t xml:space="preserve">u</m:t>
            </m:r>
          </m:e>
          <m:sub>
            <m:r>
              <w:rPr>
                <w:rFonts w:ascii="Cambria Math" w:hAnsi="Cambria Math"/>
              </w:rPr>
              <m:t xml:space="preserve">n</m:t>
            </m:r>
          </m:sub>
        </m:sSub>
        <m:r>
          <w:rPr>
            <w:rFonts w:ascii="Cambria Math" w:hAnsi="Cambria Math"/>
          </w:rPr>
          <m:t xml:space="preserve">−</m:t>
        </m:r>
        <m:r>
          <w:rPr>
            <w:rFonts w:ascii="Cambria Math" w:hAnsi="Cambria Math"/>
          </w:rPr>
          <m:t xml:space="preserve">g</m:t>
        </m:r>
        <m:f>
          <m:num>
            <m:r>
              <w:rPr>
                <w:rFonts w:ascii="Cambria Math" w:hAnsi="Cambria Math"/>
              </w:rPr>
              <m:t xml:space="preserve">∂</m:t>
            </m:r>
            <m:sSub>
              <m:e>
                <m:r>
                  <w:rPr>
                    <w:rFonts w:ascii="Cambria Math" w:hAnsi="Cambria Math"/>
                  </w:rPr>
                  <m:t xml:space="preserve">η</m:t>
                </m:r>
              </m:e>
              <m:sub>
                <m:r>
                  <w:rPr>
                    <w:rFonts w:ascii="Cambria Math" w:hAnsi="Cambria Math"/>
                  </w:rPr>
                  <m:t xml:space="preserve">n</m:t>
                </m:r>
              </m:sub>
            </m:sSub>
          </m:num>
          <m:den>
            <m:r>
              <w:rPr>
                <w:rFonts w:ascii="Cambria Math" w:hAnsi="Cambria Math"/>
              </w:rPr>
              <m:t xml:space="preserve">∂</m:t>
            </m:r>
            <m:r>
              <w:rPr>
                <w:rFonts w:ascii="Cambria Math" w:hAnsi="Cambria Math"/>
              </w:rPr>
              <m:t xml:space="preserve">x</m:t>
            </m:r>
          </m:den>
        </m:f>
        <m:r>
          <w:rPr>
            <w:rFonts w:ascii="Cambria Math" w:hAnsi="Cambria Math"/>
          </w:rPr>
          <m:t xml:space="preserve">+</m:t>
        </m:r>
        <m:r>
          <w:rPr>
            <w:rFonts w:ascii="Cambria Math" w:hAnsi="Cambria Math"/>
          </w:rPr>
          <m:t xml:space="preserve">κ</m:t>
        </m:r>
        <m:f>
          <m:num>
            <m:sSup>
              <m:e>
                <m:r>
                  <w:rPr>
                    <w:rFonts w:ascii="Cambria Math" w:hAnsi="Cambria Math"/>
                  </w:rPr>
                  <m:t xml:space="preserve">∂</m:t>
                </m:r>
              </m:e>
              <m:sup>
                <m:r>
                  <w:rPr>
                    <w:rFonts w:ascii="Cambria Math" w:hAnsi="Cambria Math"/>
                  </w:rPr>
                  <m:t xml:space="preserve">2</m:t>
                </m:r>
              </m:sup>
            </m:sSup>
            <m:sSub>
              <m:e>
                <m:r>
                  <w:rPr>
                    <w:rFonts w:ascii="Cambria Math" w:hAnsi="Cambria Math"/>
                  </w:rPr>
                  <m:t xml:space="preserve">u</m:t>
                </m:r>
              </m:e>
              <m:sub>
                <m:r>
                  <w:rPr>
                    <w:rFonts w:ascii="Cambria Math" w:hAnsi="Cambria Math"/>
                  </w:rPr>
                  <m:t xml:space="preserve">n</m:t>
                </m:r>
              </m:sub>
            </m:sSub>
          </m:num>
          <m:den>
            <m:r>
              <w:rPr>
                <w:rFonts w:ascii="Cambria Math" w:hAnsi="Cambria Math"/>
              </w:rPr>
              <m:t xml:space="preserve">∂</m:t>
            </m:r>
            <m:sSup>
              <m:e>
                <m:r>
                  <w:rPr>
                    <w:rFonts w:ascii="Cambria Math" w:hAnsi="Cambria Math"/>
                  </w:rPr>
                  <m:t xml:space="preserve">x</m:t>
                </m:r>
              </m:e>
              <m:sup>
                <m:r>
                  <w:rPr>
                    <w:rFonts w:ascii="Cambria Math" w:hAnsi="Cambria Math"/>
                  </w:rPr>
                  <m:t xml:space="preserve">2</m:t>
                </m:r>
              </m:sup>
            </m:sSup>
          </m:den>
        </m:f>
      </m:oMath>
    </w:p>
    <w:p>
      <w:pPr>
        <w:pStyle w:val="Normal"/>
        <w:rPr>
          <w:rFonts w:ascii="Calibri" w:hAnsi="Calibri" w:eastAsia="Calibri" w:cs="Calibri"/>
        </w:rPr>
      </w:pPr>
      <w:r>
        <w:rPr>
          <w:rFonts w:eastAsia="Calibri" w:cs="Calibri" w:ascii="Calibri" w:hAnsi="Calibri"/>
        </w:rPr>
      </w:r>
    </w:p>
    <w:p>
      <w:pPr>
        <w:pStyle w:val="Normal"/>
        <w:rPr/>
      </w:pPr>
      <w:r>
        <w:rPr/>
      </w:r>
      <m:oMath xmlns:m="http://schemas.openxmlformats.org/officeDocument/2006/math">
        <m:f>
          <m:num>
            <m:r>
              <w:rPr>
                <w:rFonts w:ascii="Cambria Math" w:hAnsi="Cambria Math"/>
              </w:rPr>
              <m:t xml:space="preserve">1</m:t>
            </m:r>
          </m:num>
          <m:den>
            <m:r>
              <w:rPr>
                <w:rFonts w:ascii="Cambria Math" w:hAnsi="Cambria Math"/>
              </w:rPr>
              <m:t xml:space="preserve">Δt</m:t>
            </m:r>
          </m:den>
        </m:f>
        <m:sSub>
          <m:e>
            <m:r>
              <w:rPr>
                <w:rFonts w:ascii="Cambria Math" w:hAnsi="Cambria Math"/>
              </w:rPr>
              <m:t xml:space="preserve">η</m:t>
            </m:r>
          </m:e>
          <m:sub>
            <m:r>
              <w:rPr>
                <w:rFonts w:ascii="Cambria Math" w:hAnsi="Cambria Math"/>
              </w:rPr>
              <m:t xml:space="preserve">n</m:t>
            </m:r>
            <m:r>
              <w:rPr>
                <w:rFonts w:ascii="Cambria Math" w:hAnsi="Cambria Math"/>
              </w:rPr>
              <m:t xml:space="preserve">+</m:t>
            </m:r>
            <m:r>
              <w:rPr>
                <w:rFonts w:ascii="Cambria Math" w:hAnsi="Cambria Math"/>
              </w:rPr>
              <m:t xml:space="preserve">1</m:t>
            </m:r>
          </m:sub>
        </m:sSub>
        <m:r>
          <w:rPr>
            <w:rFonts w:ascii="Cambria Math" w:hAnsi="Cambria Math"/>
          </w:rPr>
          <m:t xml:space="preserve">=</m:t>
        </m:r>
        <m:f>
          <m:num>
            <m:r>
              <w:rPr>
                <w:rFonts w:ascii="Cambria Math" w:hAnsi="Cambria Math"/>
              </w:rPr>
              <m:t xml:space="preserve">1</m:t>
            </m:r>
          </m:num>
          <m:den>
            <m:r>
              <w:rPr>
                <w:rFonts w:ascii="Cambria Math" w:hAnsi="Cambria Math"/>
              </w:rPr>
              <m:t xml:space="preserve">Δt</m:t>
            </m:r>
          </m:den>
        </m:f>
        <m:sSub>
          <m:e>
            <m:r>
              <w:rPr>
                <w:rFonts w:ascii="Cambria Math" w:hAnsi="Cambria Math"/>
              </w:rPr>
              <m:t xml:space="preserve">η</m:t>
            </m:r>
          </m:e>
          <m:sub>
            <m:r>
              <w:rPr>
                <w:rFonts w:ascii="Cambria Math" w:hAnsi="Cambria Math"/>
              </w:rPr>
              <m:t xml:space="preserve">n</m:t>
            </m:r>
          </m:sub>
        </m:sSub>
        <m:r>
          <w:rPr>
            <w:rFonts w:ascii="Cambria Math" w:hAnsi="Cambria Math"/>
          </w:rPr>
          <m:t xml:space="preserve">−</m:t>
        </m:r>
        <m:f>
          <m:num>
            <m:r>
              <w:rPr>
                <w:rFonts w:ascii="Cambria Math" w:hAnsi="Cambria Math"/>
              </w:rPr>
              <m:t xml:space="preserve">∂</m:t>
            </m:r>
            <m:sSub>
              <m:e>
                <m:r>
                  <w:rPr>
                    <w:rFonts w:ascii="Cambria Math" w:hAnsi="Cambria Math"/>
                  </w:rPr>
                  <m:t xml:space="preserve">H</m:t>
                </m:r>
              </m:e>
              <m:sub>
                <m:r>
                  <w:rPr>
                    <w:rFonts w:ascii="Cambria Math" w:hAnsi="Cambria Math"/>
                  </w:rPr>
                  <m:t xml:space="preserve">n</m:t>
                </m:r>
              </m:sub>
            </m:sSub>
            <m:sSub>
              <m:e>
                <m:r>
                  <w:rPr>
                    <w:rFonts w:ascii="Cambria Math" w:hAnsi="Cambria Math"/>
                  </w:rPr>
                  <m:t xml:space="preserve">u</m:t>
                </m:r>
              </m:e>
              <m:sub>
                <m:r>
                  <w:rPr>
                    <w:rFonts w:ascii="Cambria Math" w:hAnsi="Cambria Math"/>
                  </w:rPr>
                  <m:t xml:space="preserve">n</m:t>
                </m:r>
                <m:r>
                  <w:rPr>
                    <w:rFonts w:ascii="Cambria Math" w:hAnsi="Cambria Math"/>
                  </w:rPr>
                  <m:t xml:space="preserve">+</m:t>
                </m:r>
                <m:r>
                  <w:rPr>
                    <w:rFonts w:ascii="Cambria Math" w:hAnsi="Cambria Math"/>
                  </w:rPr>
                  <m:t xml:space="preserve">1</m:t>
                </m:r>
              </m:sub>
            </m:sSub>
          </m:num>
          <m:den>
            <m:r>
              <w:rPr>
                <w:rFonts w:ascii="Cambria Math" w:hAnsi="Cambria Math"/>
              </w:rPr>
              <m:t xml:space="preserve">∂</m:t>
            </m:r>
            <m:r>
              <w:rPr>
                <w:rFonts w:ascii="Cambria Math" w:hAnsi="Cambria Math"/>
              </w:rPr>
              <m:t xml:space="preserve">x</m:t>
            </m:r>
          </m:den>
        </m:f>
      </m:oMath>
    </w:p>
    <w:p>
      <w:pPr>
        <w:pStyle w:val="Normal"/>
        <w:rPr>
          <w:rFonts w:ascii="Calibri" w:hAnsi="Calibri" w:eastAsia="Calibri" w:cs="Calibri"/>
        </w:rPr>
      </w:pPr>
      <w:r>
        <w:rPr>
          <w:rFonts w:eastAsia="Calibri" w:cs="Calibri" w:ascii="Calibri" w:hAnsi="Calibri"/>
        </w:rPr>
      </w:r>
    </w:p>
    <w:p>
      <w:pPr>
        <w:pStyle w:val="Normal"/>
        <w:jc w:val="both"/>
        <w:rPr/>
      </w:pPr>
      <w:r>
        <w:rPr>
          <w:rFonts w:eastAsia="Calibri" w:cs="Calibri" w:ascii="Calibri" w:hAnsi="Calibri"/>
        </w:rPr>
        <w:t>Les conditions aux limites choisies sont en élévation aux limites amont et aval. Elles sont déterminées comme la solution asymptotique d’une rivière ayant la même pente moyenne et une rugosité égale à celle moyenne de la configuration académique pour un débit de 4 m²/s  par mètre de section transversale, soit par exemple 800 m</w:t>
      </w:r>
      <w:r>
        <w:rPr>
          <w:rFonts w:eastAsia="Calibri" w:cs="Calibri" w:ascii="Calibri" w:hAnsi="Calibri"/>
          <w:vertAlign w:val="superscript"/>
        </w:rPr>
        <w:t>3</w:t>
      </w:r>
      <w:r>
        <w:rPr>
          <w:rFonts w:eastAsia="Calibri" w:cs="Calibri" w:ascii="Calibri" w:hAnsi="Calibri"/>
        </w:rPr>
        <w:t>/s pour une section transverse de 200m.</w:t>
      </w:r>
    </w:p>
    <w:p>
      <w:pPr>
        <w:pStyle w:val="Normal"/>
        <w:jc w:val="both"/>
        <w:rPr>
          <w:rFonts w:ascii="Calibri" w:hAnsi="Calibri" w:eastAsia="Calibri" w:cs="Calibri"/>
        </w:rPr>
      </w:pPr>
      <w:r>
        <w:rPr>
          <w:rFonts w:eastAsia="Calibri" w:cs="Calibri" w:ascii="Calibri" w:hAnsi="Calibri"/>
        </w:rPr>
        <w:t>L’état initial est celui de la solution asymptotique. Les équations numériques  sont intégrées jusqu’à quasi-convergence de l’écoulement vers son état stationnaire (i.e. annulation des dérivées temporelles). Le pas de temps est de 0.2 secondes, le temps d’intégration moyen nécessaire est de l’ordre de 12h pour atteindre la convergence.</w:t>
      </w:r>
    </w:p>
    <w:p>
      <w:pPr>
        <w:pStyle w:val="Normal"/>
        <w:jc w:val="both"/>
        <w:rPr>
          <w:rFonts w:ascii="Calibri" w:hAnsi="Calibri" w:eastAsia="Calibri" w:cs="Calibri"/>
        </w:rPr>
      </w:pPr>
      <w:r>
        <w:rPr>
          <w:rFonts w:eastAsia="Calibri" w:cs="Calibri" w:ascii="Calibri" w:hAnsi="Calibri"/>
        </w:rPr>
      </w:r>
    </w:p>
    <w:p>
      <w:pPr>
        <w:pStyle w:val="Normal"/>
        <w:jc w:val="both"/>
        <w:rPr/>
      </w:pPr>
      <w:r>
        <w:rPr>
          <w:rFonts w:eastAsia="Calibri" w:cs="Calibri" w:ascii="Calibri" w:hAnsi="Calibri"/>
          <w:b/>
        </w:rPr>
        <w:t>Simulations à longueur de rugosité (z0) uniformes :</w:t>
      </w:r>
      <w:r>
        <w:rPr>
          <w:rFonts w:eastAsia="Calibri" w:cs="Calibri" w:ascii="Calibri" w:hAnsi="Calibri"/>
        </w:rPr>
        <w:t xml:space="preserve"> </w:t>
      </w:r>
    </w:p>
    <w:p>
      <w:pPr>
        <w:pStyle w:val="Normal"/>
        <w:jc w:val="both"/>
        <w:rPr>
          <w:rFonts w:ascii="Calibri" w:hAnsi="Calibri" w:eastAsia="Calibri" w:cs="Calibri"/>
        </w:rPr>
      </w:pPr>
      <w:r>
        <w:rPr>
          <w:rFonts w:eastAsia="Calibri" w:cs="Calibri" w:ascii="Calibri" w:hAnsi="Calibri"/>
        </w:rPr>
        <w:t>3 simulations ont été réalisées pour des valeurs de z0 égales à 1.e-05, 1.e-04 et 1.e-03 m. On a vérifié expérimentalement que les débits effectifs (après intégration et convergence) sont bien égaux à 4m²/s. Par contre, naturellement, les 3 simulations ont des conditions aux limites différentes, puisque la solution asymptotique dépend de la valeur de z0.</w:t>
      </w:r>
      <w:r>
        <w:br w:type="page"/>
      </w:r>
    </w:p>
    <w:p>
      <w:pPr>
        <w:pStyle w:val="Normal"/>
        <w:jc w:val="both"/>
        <w:rPr/>
      </w:pPr>
      <w:r>
        <w:rPr/>
        <w:drawing>
          <wp:inline distT="0" distB="0" distL="0" distR="0">
            <wp:extent cx="5731510" cy="2463165"/>
            <wp:effectExtent l="0" t="0" r="0" b="0"/>
            <wp:docPr id="10" name="Imag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23" descr=""/>
                    <pic:cNvPicPr>
                      <a:picLocks noChangeAspect="1" noChangeArrowheads="1"/>
                    </pic:cNvPicPr>
                  </pic:nvPicPr>
                  <pic:blipFill>
                    <a:blip r:embed="rId14"/>
                    <a:stretch>
                      <a:fillRect/>
                    </a:stretch>
                  </pic:blipFill>
                  <pic:spPr bwMode="auto">
                    <a:xfrm>
                      <a:off x="0" y="0"/>
                      <a:ext cx="5731510" cy="2463165"/>
                    </a:xfrm>
                    <a:prstGeom prst="rect">
                      <a:avLst/>
                    </a:prstGeom>
                  </pic:spPr>
                </pic:pic>
              </a:graphicData>
            </a:graphic>
          </wp:inline>
        </w:drawing>
      </w:r>
    </w:p>
    <w:p>
      <w:pPr>
        <w:pStyle w:val="Normal"/>
        <w:jc w:val="both"/>
        <w:rPr/>
      </w:pPr>
      <w:r>
        <w:rPr/>
        <w:drawing>
          <wp:inline distT="0" distB="0" distL="0" distR="0">
            <wp:extent cx="5731510" cy="2463165"/>
            <wp:effectExtent l="0" t="0" r="0" b="0"/>
            <wp:docPr id="11" name="Imag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24" descr=""/>
                    <pic:cNvPicPr>
                      <a:picLocks noChangeAspect="1" noChangeArrowheads="1"/>
                    </pic:cNvPicPr>
                  </pic:nvPicPr>
                  <pic:blipFill>
                    <a:blip r:embed="rId15"/>
                    <a:stretch>
                      <a:fillRect/>
                    </a:stretch>
                  </pic:blipFill>
                  <pic:spPr bwMode="auto">
                    <a:xfrm>
                      <a:off x="0" y="0"/>
                      <a:ext cx="5731510" cy="2463165"/>
                    </a:xfrm>
                    <a:prstGeom prst="rect">
                      <a:avLst/>
                    </a:prstGeom>
                  </pic:spPr>
                </pic:pic>
              </a:graphicData>
            </a:graphic>
          </wp:inline>
        </w:drawing>
      </w:r>
    </w:p>
    <w:p>
      <w:pPr>
        <w:pStyle w:val="Normal"/>
        <w:jc w:val="both"/>
        <w:rPr/>
      </w:pPr>
      <w:r>
        <w:rPr/>
        <w:drawing>
          <wp:inline distT="0" distB="0" distL="0" distR="0">
            <wp:extent cx="5731510" cy="2463165"/>
            <wp:effectExtent l="0" t="0" r="0" b="0"/>
            <wp:docPr id="12" name="Imag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26" descr=""/>
                    <pic:cNvPicPr>
                      <a:picLocks noChangeAspect="1" noChangeArrowheads="1"/>
                    </pic:cNvPicPr>
                  </pic:nvPicPr>
                  <pic:blipFill>
                    <a:blip r:embed="rId16"/>
                    <a:stretch>
                      <a:fillRect/>
                    </a:stretch>
                  </pic:blipFill>
                  <pic:spPr bwMode="auto">
                    <a:xfrm>
                      <a:off x="0" y="0"/>
                      <a:ext cx="5731510" cy="2463165"/>
                    </a:xfrm>
                    <a:prstGeom prst="rect">
                      <a:avLst/>
                    </a:prstGeom>
                  </pic:spPr>
                </pic:pic>
              </a:graphicData>
            </a:graphic>
          </wp:inline>
        </w:drawing>
      </w:r>
    </w:p>
    <w:p>
      <w:pPr>
        <w:pStyle w:val="Caption1"/>
        <w:jc w:val="center"/>
        <w:rPr>
          <w:color w:val="auto"/>
        </w:rPr>
      </w:pPr>
      <w:bookmarkStart w:id="19" w:name="_1fob9te"/>
      <w:bookmarkEnd w:id="19"/>
      <w:r>
        <w:rPr>
          <w:color w:val="auto"/>
        </w:rPr>
        <w:t xml:space="preserve">Figure </w:t>
      </w:r>
      <w:r>
        <w:rPr>
          <w:color w:val="auto"/>
        </w:rPr>
        <w:fldChar w:fldCharType="begin"/>
      </w:r>
      <w:r>
        <w:rPr>
          <w:color w:val="auto"/>
        </w:rPr>
        <w:instrText> SEQ Figure \* ARABIC </w:instrText>
      </w:r>
      <w:r>
        <w:rPr>
          <w:color w:val="auto"/>
        </w:rPr>
        <w:fldChar w:fldCharType="separate"/>
      </w:r>
      <w:r>
        <w:rPr>
          <w:color w:val="auto"/>
        </w:rPr>
        <w:t>9</w:t>
      </w:r>
      <w:r>
        <w:rPr>
          <w:color w:val="auto"/>
        </w:rPr>
        <w:fldChar w:fldCharType="end"/>
      </w:r>
      <w:r>
        <w:rPr>
          <w:color w:val="auto"/>
        </w:rPr>
        <w:t> : élévation/profondeur des simulations z0 uniforme (haut 1.e-05, milieu 1.e-04, bas haut 1.e-03)</w:t>
      </w:r>
    </w:p>
    <w:p>
      <w:pPr>
        <w:pStyle w:val="Normal"/>
        <w:jc w:val="both"/>
        <w:rPr/>
      </w:pPr>
      <w:r>
        <w:rPr>
          <w:rFonts w:eastAsia="Calibri" w:cs="Calibri" w:ascii="Calibri" w:hAnsi="Calibri"/>
        </w:rPr>
        <w:t xml:space="preserve">Les 3 simulations présentent des caractéristiques communes, avec principalement une profondeur quasi-constante sur la section amont, une faible diminution puis une augmentation sur la partie centrale et une profondeur maximum sur la section aval. Les solutions dynamiques s’écartent significativement des solutions asymptotiques, sauf dans la section la plus amont. Elles coïncident naturellement aux limites ouvertes du modèle, où elles sont prescrites comme conditions frontières.  Le débit étant constant le long de l’écoulement fluvial, la valeur du courant suit une évolution inverse de celle de l’élévation, le courant maximum étant observé dans la partie centrale à forte déclivité. </w:t>
      </w:r>
    </w:p>
    <w:p>
      <w:pPr>
        <w:pStyle w:val="Normal"/>
        <w:jc w:val="both"/>
        <w:rPr>
          <w:rFonts w:ascii="Calibri" w:hAnsi="Calibri" w:eastAsia="Calibri" w:cs="Calibri"/>
        </w:rPr>
      </w:pPr>
      <w:r>
        <w:rPr>
          <w:rFonts w:eastAsia="Calibri" w:cs="Calibri" w:ascii="Calibri" w:hAnsi="Calibri"/>
        </w:rPr>
      </w:r>
    </w:p>
    <w:p>
      <w:pPr>
        <w:pStyle w:val="Normal"/>
        <w:jc w:val="both"/>
        <w:rPr/>
      </w:pPr>
      <w:r>
        <w:rPr/>
        <w:drawing>
          <wp:inline distT="0" distB="0" distL="0" distR="0">
            <wp:extent cx="5731510" cy="2463165"/>
            <wp:effectExtent l="0" t="0" r="0" b="0"/>
            <wp:docPr id="13" name="Imag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27" descr=""/>
                    <pic:cNvPicPr>
                      <a:picLocks noChangeAspect="1" noChangeArrowheads="1"/>
                    </pic:cNvPicPr>
                  </pic:nvPicPr>
                  <pic:blipFill>
                    <a:blip r:embed="rId17"/>
                    <a:stretch>
                      <a:fillRect/>
                    </a:stretch>
                  </pic:blipFill>
                  <pic:spPr bwMode="auto">
                    <a:xfrm>
                      <a:off x="0" y="0"/>
                      <a:ext cx="5731510" cy="2463165"/>
                    </a:xfrm>
                    <a:prstGeom prst="rect">
                      <a:avLst/>
                    </a:prstGeom>
                  </pic:spPr>
                </pic:pic>
              </a:graphicData>
            </a:graphic>
          </wp:inline>
        </w:drawing>
      </w:r>
      <w:r>
        <w:rPr/>
        <w:drawing>
          <wp:inline distT="0" distB="0" distL="0" distR="0">
            <wp:extent cx="5731510" cy="2463165"/>
            <wp:effectExtent l="0" t="0" r="0" b="0"/>
            <wp:docPr id="14" name="Imag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28" descr=""/>
                    <pic:cNvPicPr>
                      <a:picLocks noChangeAspect="1" noChangeArrowheads="1"/>
                    </pic:cNvPicPr>
                  </pic:nvPicPr>
                  <pic:blipFill>
                    <a:blip r:embed="rId18"/>
                    <a:stretch>
                      <a:fillRect/>
                    </a:stretch>
                  </pic:blipFill>
                  <pic:spPr bwMode="auto">
                    <a:xfrm>
                      <a:off x="0" y="0"/>
                      <a:ext cx="5731510" cy="2463165"/>
                    </a:xfrm>
                    <a:prstGeom prst="rect">
                      <a:avLst/>
                    </a:prstGeom>
                  </pic:spPr>
                </pic:pic>
              </a:graphicData>
            </a:graphic>
          </wp:inline>
        </w:drawing>
      </w:r>
      <w:r>
        <w:rPr/>
        <w:drawing>
          <wp:inline distT="0" distB="0" distL="0" distR="0">
            <wp:extent cx="5731510" cy="2463165"/>
            <wp:effectExtent l="0" t="0" r="0" b="0"/>
            <wp:docPr id="15" name="Imag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29" descr=""/>
                    <pic:cNvPicPr>
                      <a:picLocks noChangeAspect="1" noChangeArrowheads="1"/>
                    </pic:cNvPicPr>
                  </pic:nvPicPr>
                  <pic:blipFill>
                    <a:blip r:embed="rId19"/>
                    <a:stretch>
                      <a:fillRect/>
                    </a:stretch>
                  </pic:blipFill>
                  <pic:spPr bwMode="auto">
                    <a:xfrm>
                      <a:off x="0" y="0"/>
                      <a:ext cx="5731510" cy="2463165"/>
                    </a:xfrm>
                    <a:prstGeom prst="rect">
                      <a:avLst/>
                    </a:prstGeom>
                  </pic:spPr>
                </pic:pic>
              </a:graphicData>
            </a:graphic>
          </wp:inline>
        </w:drawing>
      </w:r>
    </w:p>
    <w:p>
      <w:pPr>
        <w:pStyle w:val="Caption1"/>
        <w:jc w:val="center"/>
        <w:rPr>
          <w:color w:val="auto"/>
        </w:rPr>
      </w:pPr>
      <w:r>
        <w:rPr>
          <w:color w:val="auto"/>
        </w:rPr>
        <w:t xml:space="preserve">Figure </w:t>
      </w:r>
      <w:r>
        <w:rPr>
          <w:color w:val="auto"/>
        </w:rPr>
        <w:fldChar w:fldCharType="begin"/>
      </w:r>
      <w:r>
        <w:rPr>
          <w:color w:val="auto"/>
        </w:rPr>
        <w:instrText> SEQ Figure \* ARABIC </w:instrText>
      </w:r>
      <w:r>
        <w:rPr>
          <w:color w:val="auto"/>
        </w:rPr>
        <w:fldChar w:fldCharType="separate"/>
      </w:r>
      <w:r>
        <w:rPr>
          <w:color w:val="auto"/>
        </w:rPr>
        <w:t>10</w:t>
      </w:r>
      <w:r>
        <w:rPr>
          <w:color w:val="auto"/>
        </w:rPr>
        <w:fldChar w:fldCharType="end"/>
      </w:r>
      <w:r>
        <w:rPr>
          <w:color w:val="auto"/>
        </w:rPr>
        <w:t> : vitesse/débit des simulations z0 uniforme (haut 1.e-05, milieu 1.e-04, bas haut 1.e-03)</w:t>
      </w:r>
    </w:p>
    <w:p>
      <w:pPr>
        <w:pStyle w:val="Normal"/>
        <w:rPr>
          <w:rFonts w:ascii="Calibri" w:hAnsi="Calibri" w:eastAsia="Calibri" w:cs="Calibri"/>
        </w:rPr>
      </w:pPr>
      <w:r>
        <w:rPr>
          <w:rFonts w:eastAsia="Calibri" w:cs="Calibri" w:ascii="Calibri" w:hAnsi="Calibri"/>
        </w:rPr>
      </w:r>
    </w:p>
    <w:p>
      <w:pPr>
        <w:pStyle w:val="Normal"/>
        <w:rPr>
          <w:rFonts w:ascii="Calibri" w:hAnsi="Calibri" w:eastAsia="Calibri" w:cs="Calibri"/>
        </w:rPr>
      </w:pPr>
      <w:r>
        <w:rPr>
          <w:rFonts w:eastAsia="Calibri" w:cs="Calibri" w:ascii="Calibri" w:hAnsi="Calibri"/>
        </w:rPr>
      </w:r>
    </w:p>
    <w:p>
      <w:pPr>
        <w:pStyle w:val="Normal"/>
        <w:rPr>
          <w:rFonts w:ascii="Calibri" w:hAnsi="Calibri" w:eastAsia="Calibri" w:cs="Calibri"/>
        </w:rPr>
      </w:pPr>
      <w:r>
        <w:rPr>
          <w:rFonts w:eastAsia="Calibri" w:cs="Calibri" w:ascii="Calibri" w:hAnsi="Calibri"/>
        </w:rPr>
      </w:r>
    </w:p>
    <w:p>
      <w:pPr>
        <w:pStyle w:val="Normal"/>
        <w:rPr>
          <w:rFonts w:ascii="Calibri" w:hAnsi="Calibri" w:eastAsia="Calibri" w:cs="Calibri"/>
        </w:rPr>
      </w:pPr>
      <w:r>
        <w:rPr>
          <w:rFonts w:eastAsia="Calibri" w:cs="Calibri" w:ascii="Calibri" w:hAnsi="Calibri"/>
        </w:rPr>
      </w:r>
    </w:p>
    <w:p>
      <w:pPr>
        <w:pStyle w:val="Normal"/>
        <w:rPr>
          <w:rFonts w:ascii="Calibri" w:hAnsi="Calibri" w:eastAsia="Calibri" w:cs="Calibri"/>
        </w:rPr>
      </w:pPr>
      <w:r>
        <w:rPr>
          <w:rFonts w:eastAsia="Calibri" w:cs="Calibri" w:ascii="Calibri" w:hAnsi="Calibri"/>
        </w:rPr>
      </w:r>
    </w:p>
    <w:p>
      <w:pPr>
        <w:pStyle w:val="Normal"/>
        <w:rPr>
          <w:rFonts w:ascii="Calibri" w:hAnsi="Calibri" w:eastAsia="Calibri" w:cs="Calibri"/>
        </w:rPr>
      </w:pPr>
      <w:r>
        <w:rPr>
          <w:rFonts w:eastAsia="Calibri" w:cs="Calibri" w:ascii="Calibri" w:hAnsi="Calibri"/>
        </w:rPr>
      </w:r>
    </w:p>
    <w:p>
      <w:pPr>
        <w:pStyle w:val="Caption1"/>
        <w:jc w:val="center"/>
        <w:rPr>
          <w:color w:val="auto"/>
        </w:rPr>
      </w:pPr>
      <w:r>
        <w:rPr/>
        <w:drawing>
          <wp:inline distT="0" distB="0" distL="0" distR="0">
            <wp:extent cx="5731510" cy="2463165"/>
            <wp:effectExtent l="0" t="0" r="0" b="0"/>
            <wp:docPr id="16" name="Imag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30" descr=""/>
                    <pic:cNvPicPr>
                      <a:picLocks noChangeAspect="1" noChangeArrowheads="1"/>
                    </pic:cNvPicPr>
                  </pic:nvPicPr>
                  <pic:blipFill>
                    <a:blip r:embed="rId20"/>
                    <a:stretch>
                      <a:fillRect/>
                    </a:stretch>
                  </pic:blipFill>
                  <pic:spPr bwMode="auto">
                    <a:xfrm>
                      <a:off x="0" y="0"/>
                      <a:ext cx="5731510" cy="2463165"/>
                    </a:xfrm>
                    <a:prstGeom prst="rect">
                      <a:avLst/>
                    </a:prstGeom>
                  </pic:spPr>
                </pic:pic>
              </a:graphicData>
            </a:graphic>
          </wp:inline>
        </w:drawing>
      </w:r>
      <w:bookmarkStart w:id="20" w:name="Ref_Figure9_label_and_number"/>
      <w:r>
        <w:rPr>
          <w:color w:val="auto"/>
        </w:rPr>
        <w:t xml:space="preserve">Figure </w:t>
      </w:r>
      <w:r>
        <w:rPr>
          <w:color w:val="auto"/>
        </w:rPr>
        <w:fldChar w:fldCharType="begin"/>
      </w:r>
      <w:r>
        <w:rPr>
          <w:color w:val="auto"/>
        </w:rPr>
        <w:instrText> SEQ Figure \* ARABIC </w:instrText>
      </w:r>
      <w:r>
        <w:rPr>
          <w:color w:val="auto"/>
        </w:rPr>
        <w:fldChar w:fldCharType="separate"/>
      </w:r>
      <w:r>
        <w:rPr>
          <w:color w:val="auto"/>
        </w:rPr>
        <w:t>11</w:t>
      </w:r>
      <w:r>
        <w:rPr>
          <w:color w:val="auto"/>
        </w:rPr>
        <w:fldChar w:fldCharType="end"/>
      </w:r>
      <w:bookmarkEnd w:id="20"/>
      <w:r>
        <w:rPr>
          <w:color w:val="auto"/>
        </w:rPr>
        <w:t xml:space="preserve"> : coefficient de frottement adimensionnel (Cd) des simulations à z0 uniforme </w:t>
      </w:r>
    </w:p>
    <w:p>
      <w:pPr>
        <w:pStyle w:val="Normal"/>
        <w:rPr/>
      </w:pPr>
      <w:r>
        <w:rPr/>
        <w:drawing>
          <wp:inline distT="0" distB="0" distL="0" distR="0">
            <wp:extent cx="5731510" cy="2463165"/>
            <wp:effectExtent l="0" t="0" r="0" b="0"/>
            <wp:docPr id="17" name="Imag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37" descr=""/>
                    <pic:cNvPicPr>
                      <a:picLocks noChangeAspect="1" noChangeArrowheads="1"/>
                    </pic:cNvPicPr>
                  </pic:nvPicPr>
                  <pic:blipFill>
                    <a:blip r:embed="rId21"/>
                    <a:stretch>
                      <a:fillRect/>
                    </a:stretch>
                  </pic:blipFill>
                  <pic:spPr bwMode="auto">
                    <a:xfrm>
                      <a:off x="0" y="0"/>
                      <a:ext cx="5731510" cy="2463165"/>
                    </a:xfrm>
                    <a:prstGeom prst="rect">
                      <a:avLst/>
                    </a:prstGeom>
                  </pic:spPr>
                </pic:pic>
              </a:graphicData>
            </a:graphic>
          </wp:inline>
        </w:drawing>
      </w:r>
    </w:p>
    <w:p>
      <w:pPr>
        <w:pStyle w:val="Caption1"/>
        <w:jc w:val="center"/>
        <w:rPr>
          <w:color w:val="auto"/>
        </w:rPr>
      </w:pPr>
      <w:bookmarkStart w:id="21" w:name="Ref_Figure10_label_and_number"/>
      <w:r>
        <w:rPr>
          <w:color w:val="auto"/>
        </w:rPr>
        <w:t xml:space="preserve">Figure </w:t>
      </w:r>
      <w:r>
        <w:rPr>
          <w:color w:val="auto"/>
        </w:rPr>
        <w:fldChar w:fldCharType="begin"/>
      </w:r>
      <w:r>
        <w:rPr>
          <w:color w:val="auto"/>
        </w:rPr>
        <w:instrText> SEQ Figure \* ARABIC </w:instrText>
      </w:r>
      <w:r>
        <w:rPr>
          <w:color w:val="auto"/>
        </w:rPr>
        <w:fldChar w:fldCharType="separate"/>
      </w:r>
      <w:r>
        <w:rPr>
          <w:color w:val="auto"/>
        </w:rPr>
        <w:t>12</w:t>
      </w:r>
      <w:r>
        <w:rPr>
          <w:color w:val="auto"/>
        </w:rPr>
        <w:fldChar w:fldCharType="end"/>
      </w:r>
      <w:bookmarkEnd w:id="21"/>
      <w:r>
        <w:rPr>
          <w:color w:val="auto"/>
        </w:rPr>
        <w:t xml:space="preserve"> : élévations comparées des simulations à z0 uniforme </w:t>
      </w:r>
    </w:p>
    <w:p>
      <w:pPr>
        <w:pStyle w:val="Normal"/>
        <w:rPr>
          <w:rFonts w:ascii="Calibri" w:hAnsi="Calibri" w:eastAsia="Calibri" w:cs="Calibri"/>
        </w:rPr>
      </w:pPr>
      <w:r>
        <w:rPr>
          <w:rFonts w:eastAsia="Calibri" w:cs="Calibri" w:ascii="Calibri" w:hAnsi="Calibri"/>
        </w:rPr>
      </w:r>
    </w:p>
    <w:p>
      <w:pPr>
        <w:pStyle w:val="Normal"/>
        <w:jc w:val="both"/>
        <w:rPr/>
      </w:pPr>
      <w:r>
        <w:rPr>
          <w:rFonts w:eastAsia="Calibri" w:cs="Calibri" w:ascii="Calibri" w:hAnsi="Calibri"/>
        </w:rPr>
        <w:t xml:space="preserve">Au final, on peut noter que les trois simulations ont des caractéristiques très semblables, dont la plus intéressante est un approfondissement sensible du fleuve à l’aval de la section la plus pentue (où l’écart avec les solutions asymptotiques sont également les plus importantes), malgré un rappel vers une profondeur moindre par la condition limite aval. On note également que la sensibilité des solutions au choix de rugosité est quasi-homogène sur l’ensemble de la configuration, avec une profondeur augmentant avec la valeur de longueur de rugosité z0, et inversement pour le courant (à l’instar des solutions asymptotiques). </w:t>
      </w:r>
      <w:r>
        <w:rPr>
          <w:rFonts w:eastAsia="Calibri" w:cs="Calibri" w:ascii="Calibri" w:hAnsi="Calibri"/>
          <w:i/>
        </w:rPr>
        <w:t>On comprend alors aisément que la profondeur du fleuve peut être efficacement ajustée en modulant la rugosité du fond</w:t>
      </w:r>
      <w:r>
        <w:rPr>
          <w:rFonts w:eastAsia="Calibri" w:cs="Calibri" w:ascii="Calibri" w:hAnsi="Calibri"/>
        </w:rPr>
        <w:t>.</w:t>
      </w:r>
    </w:p>
    <w:p>
      <w:pPr>
        <w:pStyle w:val="Normal"/>
        <w:rPr>
          <w:rFonts w:ascii="Calibri" w:hAnsi="Calibri" w:eastAsia="Calibri" w:cs="Calibri"/>
        </w:rPr>
      </w:pPr>
      <w:r>
        <w:rPr>
          <w:rFonts w:eastAsia="Calibri" w:cs="Calibri" w:ascii="Calibri" w:hAnsi="Calibri"/>
        </w:rPr>
      </w:r>
    </w:p>
    <w:p>
      <w:pPr>
        <w:pStyle w:val="Normal"/>
        <w:jc w:val="both"/>
        <w:rPr/>
      </w:pPr>
      <w:r>
        <w:rPr>
          <w:rFonts w:eastAsia="Calibri" w:cs="Calibri" w:ascii="Calibri" w:hAnsi="Calibri"/>
          <w:b/>
        </w:rPr>
        <w:t>Simulations à longueur de rugosité (z0) variables :</w:t>
      </w:r>
      <w:r>
        <w:rPr>
          <w:rFonts w:eastAsia="Calibri" w:cs="Calibri" w:ascii="Calibri" w:hAnsi="Calibri"/>
        </w:rPr>
        <w:t xml:space="preserve"> </w:t>
      </w:r>
    </w:p>
    <w:p>
      <w:pPr>
        <w:pStyle w:val="Normal"/>
        <w:rPr>
          <w:rFonts w:ascii="Calibri" w:hAnsi="Calibri" w:eastAsia="Calibri" w:cs="Calibri"/>
        </w:rPr>
      </w:pPr>
      <w:r>
        <w:rPr>
          <w:rFonts w:eastAsia="Calibri" w:cs="Calibri" w:ascii="Calibri" w:hAnsi="Calibri"/>
        </w:rPr>
      </w:r>
    </w:p>
    <w:p>
      <w:pPr>
        <w:pStyle w:val="Normal"/>
        <w:jc w:val="both"/>
        <w:rPr>
          <w:rFonts w:ascii="Calibri" w:hAnsi="Calibri" w:eastAsia="Calibri" w:cs="Calibri"/>
        </w:rPr>
      </w:pPr>
      <w:r>
        <w:rPr>
          <w:rFonts w:eastAsia="Calibri" w:cs="Calibri" w:ascii="Calibri" w:hAnsi="Calibri"/>
        </w:rPr>
        <w:t>La première simulation (#1] cherche à reproduire la situation d’une portion amont modérément rugueuse (z0=1.e-04) et d’une portion aval plus proche d’un état vaseux (variant linéairement entre z0=1.e-04 et z0=1.e-05 à son extrémité).</w:t>
      </w:r>
    </w:p>
    <w:p>
      <w:pPr>
        <w:pStyle w:val="Normal"/>
        <w:jc w:val="both"/>
        <w:rPr>
          <w:rFonts w:ascii="Calibri" w:hAnsi="Calibri" w:eastAsia="Calibri" w:cs="Calibri"/>
        </w:rPr>
      </w:pPr>
      <w:r>
        <w:rPr>
          <w:rFonts w:eastAsia="Calibri" w:cs="Calibri" w:ascii="Calibri" w:hAnsi="Calibri"/>
        </w:rPr>
      </w:r>
    </w:p>
    <w:p>
      <w:pPr>
        <w:pStyle w:val="Normal"/>
        <w:rPr/>
      </w:pPr>
      <w:r>
        <w:rPr/>
        <w:drawing>
          <wp:inline distT="0" distB="0" distL="0" distR="0">
            <wp:extent cx="5731510" cy="2463165"/>
            <wp:effectExtent l="0" t="0" r="0" b="0"/>
            <wp:docPr id="18" name="Imag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32" descr=""/>
                    <pic:cNvPicPr>
                      <a:picLocks noChangeAspect="1" noChangeArrowheads="1"/>
                    </pic:cNvPicPr>
                  </pic:nvPicPr>
                  <pic:blipFill>
                    <a:blip r:embed="rId22"/>
                    <a:stretch>
                      <a:fillRect/>
                    </a:stretch>
                  </pic:blipFill>
                  <pic:spPr bwMode="auto">
                    <a:xfrm>
                      <a:off x="0" y="0"/>
                      <a:ext cx="5731510" cy="2463165"/>
                    </a:xfrm>
                    <a:prstGeom prst="rect">
                      <a:avLst/>
                    </a:prstGeom>
                  </pic:spPr>
                </pic:pic>
              </a:graphicData>
            </a:graphic>
          </wp:inline>
        </w:drawing>
      </w:r>
      <w:r>
        <w:rPr/>
        <w:drawing>
          <wp:inline distT="0" distB="0" distL="0" distR="0">
            <wp:extent cx="5731510" cy="2463165"/>
            <wp:effectExtent l="0" t="0" r="0" b="0"/>
            <wp:docPr id="19" name="Imag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33" descr=""/>
                    <pic:cNvPicPr>
                      <a:picLocks noChangeAspect="1" noChangeArrowheads="1"/>
                    </pic:cNvPicPr>
                  </pic:nvPicPr>
                  <pic:blipFill>
                    <a:blip r:embed="rId23"/>
                    <a:stretch>
                      <a:fillRect/>
                    </a:stretch>
                  </pic:blipFill>
                  <pic:spPr bwMode="auto">
                    <a:xfrm>
                      <a:off x="0" y="0"/>
                      <a:ext cx="5731510" cy="2463165"/>
                    </a:xfrm>
                    <a:prstGeom prst="rect">
                      <a:avLst/>
                    </a:prstGeom>
                  </pic:spPr>
                </pic:pic>
              </a:graphicData>
            </a:graphic>
          </wp:inline>
        </w:drawing>
      </w:r>
      <w:r>
        <w:rPr/>
        <w:drawing>
          <wp:inline distT="0" distB="0" distL="0" distR="0">
            <wp:extent cx="5731510" cy="2463165"/>
            <wp:effectExtent l="0" t="0" r="0" b="0"/>
            <wp:docPr id="20" name="Imag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31" descr=""/>
                    <pic:cNvPicPr>
                      <a:picLocks noChangeAspect="1" noChangeArrowheads="1"/>
                    </pic:cNvPicPr>
                  </pic:nvPicPr>
                  <pic:blipFill>
                    <a:blip r:embed="rId24"/>
                    <a:stretch>
                      <a:fillRect/>
                    </a:stretch>
                  </pic:blipFill>
                  <pic:spPr bwMode="auto">
                    <a:xfrm>
                      <a:off x="0" y="0"/>
                      <a:ext cx="5731510" cy="2463165"/>
                    </a:xfrm>
                    <a:prstGeom prst="rect">
                      <a:avLst/>
                    </a:prstGeom>
                  </pic:spPr>
                </pic:pic>
              </a:graphicData>
            </a:graphic>
          </wp:inline>
        </w:drawing>
      </w:r>
    </w:p>
    <w:p>
      <w:pPr>
        <w:pStyle w:val="Caption1"/>
        <w:jc w:val="center"/>
        <w:rPr>
          <w:color w:val="auto"/>
        </w:rPr>
      </w:pPr>
      <w:r>
        <w:rPr>
          <w:color w:val="auto"/>
        </w:rPr>
        <w:t xml:space="preserve">Figure </w:t>
      </w:r>
      <w:r>
        <w:rPr>
          <w:color w:val="auto"/>
        </w:rPr>
        <w:fldChar w:fldCharType="begin"/>
      </w:r>
      <w:r>
        <w:rPr>
          <w:color w:val="auto"/>
        </w:rPr>
        <w:instrText> SEQ Figure \* ARABIC </w:instrText>
      </w:r>
      <w:r>
        <w:rPr>
          <w:color w:val="auto"/>
        </w:rPr>
        <w:fldChar w:fldCharType="separate"/>
      </w:r>
      <w:r>
        <w:rPr>
          <w:color w:val="auto"/>
        </w:rPr>
        <w:t>13</w:t>
      </w:r>
      <w:r>
        <w:rPr>
          <w:color w:val="auto"/>
        </w:rPr>
        <w:fldChar w:fldCharType="end"/>
      </w:r>
      <w:r>
        <w:rPr>
          <w:color w:val="auto"/>
        </w:rPr>
        <w:t xml:space="preserve"> : simulation z0 variable #1 </w:t>
      </w:r>
    </w:p>
    <w:p>
      <w:pPr>
        <w:pStyle w:val="Normal"/>
        <w:rPr>
          <w:rFonts w:ascii="Calibri" w:hAnsi="Calibri" w:eastAsia="Calibri" w:cs="Calibri"/>
        </w:rPr>
      </w:pPr>
      <w:r>
        <w:rPr>
          <w:rFonts w:eastAsia="Calibri" w:cs="Calibri" w:ascii="Calibri" w:hAnsi="Calibri"/>
        </w:rPr>
      </w:r>
    </w:p>
    <w:p>
      <w:pPr>
        <w:pStyle w:val="Normal"/>
        <w:rPr>
          <w:rFonts w:ascii="Calibri" w:hAnsi="Calibri" w:eastAsia="Calibri" w:cs="Calibri"/>
        </w:rPr>
      </w:pPr>
      <w:r>
        <w:rPr>
          <w:rFonts w:eastAsia="Calibri" w:cs="Calibri" w:ascii="Calibri" w:hAnsi="Calibri"/>
        </w:rPr>
      </w:r>
    </w:p>
    <w:p>
      <w:pPr>
        <w:pStyle w:val="Normal"/>
        <w:jc w:val="both"/>
        <w:rPr>
          <w:rFonts w:ascii="Calibri" w:hAnsi="Calibri" w:eastAsia="Calibri" w:cs="Calibri"/>
        </w:rPr>
      </w:pPr>
      <w:r>
        <w:rPr>
          <w:rFonts w:eastAsia="Calibri" w:cs="Calibri" w:ascii="Calibri" w:hAnsi="Calibri"/>
        </w:rPr>
        <w:t>La deuxième simulation (#2] est identique à la première sur la partie la plus aval et la plus amont, mais avec une partie centrale (zone de plus fort déclivité du fond fluviale) très rugueuse (z0=1.e-03), se rapprochant des conditions de la Garonne entre Castet-sur-Dorthes et la Réole.</w:t>
      </w:r>
    </w:p>
    <w:p>
      <w:pPr>
        <w:pStyle w:val="Normal"/>
        <w:rPr>
          <w:rFonts w:ascii="Calibri" w:hAnsi="Calibri" w:eastAsia="Calibri" w:cs="Calibri"/>
        </w:rPr>
      </w:pPr>
      <w:r>
        <w:rPr>
          <w:rFonts w:eastAsia="Calibri" w:cs="Calibri" w:ascii="Calibri" w:hAnsi="Calibri"/>
        </w:rPr>
      </w:r>
    </w:p>
    <w:p>
      <w:pPr>
        <w:pStyle w:val="Caption1"/>
        <w:jc w:val="center"/>
        <w:rPr>
          <w:color w:val="auto"/>
        </w:rPr>
      </w:pPr>
      <w:r>
        <w:rPr/>
        <w:drawing>
          <wp:inline distT="0" distB="0" distL="0" distR="0">
            <wp:extent cx="5731510" cy="2463165"/>
            <wp:effectExtent l="0" t="0" r="0" b="0"/>
            <wp:docPr id="21" name="Imag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35" descr=""/>
                    <pic:cNvPicPr>
                      <a:picLocks noChangeAspect="1" noChangeArrowheads="1"/>
                    </pic:cNvPicPr>
                  </pic:nvPicPr>
                  <pic:blipFill>
                    <a:blip r:embed="rId25"/>
                    <a:stretch>
                      <a:fillRect/>
                    </a:stretch>
                  </pic:blipFill>
                  <pic:spPr bwMode="auto">
                    <a:xfrm>
                      <a:off x="0" y="0"/>
                      <a:ext cx="5731510" cy="2463165"/>
                    </a:xfrm>
                    <a:prstGeom prst="rect">
                      <a:avLst/>
                    </a:prstGeom>
                  </pic:spPr>
                </pic:pic>
              </a:graphicData>
            </a:graphic>
          </wp:inline>
        </w:drawing>
      </w:r>
      <w:r>
        <w:rPr/>
        <w:drawing>
          <wp:inline distT="0" distB="0" distL="0" distR="0">
            <wp:extent cx="5731510" cy="2463165"/>
            <wp:effectExtent l="0" t="0" r="0" b="0"/>
            <wp:docPr id="22" name="Imag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36" descr=""/>
                    <pic:cNvPicPr>
                      <a:picLocks noChangeAspect="1" noChangeArrowheads="1"/>
                    </pic:cNvPicPr>
                  </pic:nvPicPr>
                  <pic:blipFill>
                    <a:blip r:embed="rId26"/>
                    <a:stretch>
                      <a:fillRect/>
                    </a:stretch>
                  </pic:blipFill>
                  <pic:spPr bwMode="auto">
                    <a:xfrm>
                      <a:off x="0" y="0"/>
                      <a:ext cx="5731510" cy="2463165"/>
                    </a:xfrm>
                    <a:prstGeom prst="rect">
                      <a:avLst/>
                    </a:prstGeom>
                  </pic:spPr>
                </pic:pic>
              </a:graphicData>
            </a:graphic>
          </wp:inline>
        </w:drawing>
      </w:r>
      <w:r>
        <w:rPr>
          <w:rFonts w:eastAsia="Calibri" w:cs="Calibri" w:ascii="Calibri" w:hAnsi="Calibri"/>
          <w:color w:val="auto"/>
        </w:rPr>
        <w:t xml:space="preserve"> </w:t>
      </w:r>
      <w:r>
        <w:rPr/>
        <w:drawing>
          <wp:inline distT="0" distB="0" distL="0" distR="0">
            <wp:extent cx="5731510" cy="2463165"/>
            <wp:effectExtent l="0" t="0" r="0" b="0"/>
            <wp:docPr id="23" name="Imag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34" descr=""/>
                    <pic:cNvPicPr>
                      <a:picLocks noChangeAspect="1" noChangeArrowheads="1"/>
                    </pic:cNvPicPr>
                  </pic:nvPicPr>
                  <pic:blipFill>
                    <a:blip r:embed="rId27"/>
                    <a:stretch>
                      <a:fillRect/>
                    </a:stretch>
                  </pic:blipFill>
                  <pic:spPr bwMode="auto">
                    <a:xfrm>
                      <a:off x="0" y="0"/>
                      <a:ext cx="5731510" cy="2463165"/>
                    </a:xfrm>
                    <a:prstGeom prst="rect">
                      <a:avLst/>
                    </a:prstGeom>
                  </pic:spPr>
                </pic:pic>
              </a:graphicData>
            </a:graphic>
          </wp:inline>
        </w:drawing>
      </w:r>
      <w:r>
        <w:rPr>
          <w:color w:val="auto"/>
        </w:rPr>
        <w:t xml:space="preserve">Figure </w:t>
      </w:r>
      <w:r>
        <w:rPr>
          <w:color w:val="auto"/>
        </w:rPr>
        <w:fldChar w:fldCharType="begin"/>
      </w:r>
      <w:r>
        <w:rPr>
          <w:color w:val="auto"/>
        </w:rPr>
        <w:instrText> SEQ Figure \* ARABIC </w:instrText>
      </w:r>
      <w:r>
        <w:rPr>
          <w:color w:val="auto"/>
        </w:rPr>
        <w:fldChar w:fldCharType="separate"/>
      </w:r>
      <w:r>
        <w:rPr>
          <w:color w:val="auto"/>
        </w:rPr>
        <w:t>14</w:t>
      </w:r>
      <w:r>
        <w:rPr>
          <w:color w:val="auto"/>
        </w:rPr>
        <w:fldChar w:fldCharType="end"/>
      </w:r>
      <w:r>
        <w:rPr>
          <w:color w:val="auto"/>
        </w:rPr>
        <w:t xml:space="preserve"> : simulation z0 variable #2 </w:t>
      </w:r>
    </w:p>
    <w:p>
      <w:pPr>
        <w:pStyle w:val="Normal"/>
        <w:jc w:val="both"/>
        <w:rPr/>
      </w:pPr>
      <w:r>
        <w:rPr>
          <w:rFonts w:eastAsia="Calibri" w:cs="Calibri" w:ascii="Calibri" w:hAnsi="Calibri"/>
        </w:rPr>
        <w:t>Contrairement aux simulations précédentes, l’ajout d’une rugosité forte en partie centrale conduit à un débit significativement différent (4.5 m²/s) de celui imposé dans les solutions asymptotiques (4m²/s), accroissement contre-intuitif par comparaison avec la simulation à z0 variable #1 dans le sens où la deuxième simulation présente un fort accroissement de rugosité dans sa partie centrale. Cette divergence s’explique probablement par l’inadéquation de la méthode asymptotique pour définir des conditions aux limites assurant un débit donné. Paradoxalement, la profondeur fluviale reste très proche (comparée aux autres simulations) à la solution asymptotique, non seulement en partie amont mais aussi en partie centrale.</w:t>
      </w:r>
    </w:p>
    <w:p>
      <w:pPr>
        <w:pStyle w:val="Normal"/>
        <w:jc w:val="both"/>
        <w:rPr>
          <w:rFonts w:ascii="Calibri" w:hAnsi="Calibri" w:eastAsia="Calibri" w:cs="Calibri"/>
          <w:color w:val="1F497D"/>
        </w:rPr>
      </w:pPr>
      <w:r>
        <w:rPr>
          <w:rFonts w:eastAsia="Calibri" w:cs="Calibri" w:ascii="Calibri" w:hAnsi="Calibri"/>
          <w:color w:val="1F497D"/>
        </w:rPr>
      </w:r>
    </w:p>
    <w:p>
      <w:pPr>
        <w:pStyle w:val="Normal"/>
        <w:jc w:val="both"/>
        <w:rPr>
          <w:rFonts w:ascii="Calibri" w:hAnsi="Calibri" w:eastAsia="Calibri" w:cs="Calibri"/>
          <w:color w:val="1F497D"/>
        </w:rPr>
      </w:pPr>
      <w:r>
        <w:rPr>
          <w:rFonts w:eastAsia="Calibri" w:cs="Calibri" w:ascii="Calibri" w:hAnsi="Calibri"/>
          <w:b/>
          <w:color w:val="1F497D"/>
        </w:rPr>
        <w:t>Condition aux limites aval exprimée en débit :</w:t>
      </w:r>
      <w:r>
        <w:rPr>
          <w:rFonts w:eastAsia="Calibri" w:cs="Calibri" w:ascii="Calibri" w:hAnsi="Calibri"/>
          <w:color w:val="1F497D"/>
        </w:rPr>
        <w:t xml:space="preserve"> </w:t>
      </w:r>
    </w:p>
    <w:p>
      <w:pPr>
        <w:pStyle w:val="Normal"/>
        <w:jc w:val="both"/>
        <w:rPr/>
      </w:pPr>
      <w:r>
        <w:rPr/>
      </w:r>
    </w:p>
    <w:p>
      <w:pPr>
        <w:pStyle w:val="Normal"/>
        <w:jc w:val="both"/>
        <w:rPr>
          <w:rFonts w:ascii="Calibri" w:hAnsi="Calibri" w:eastAsia="Calibri" w:cs="Calibri"/>
          <w:color w:val="1F497D"/>
        </w:rPr>
      </w:pPr>
      <w:r>
        <w:rPr>
          <w:rFonts w:eastAsia="Calibri" w:cs="Calibri" w:ascii="Calibri" w:hAnsi="Calibri"/>
          <w:color w:val="1F497D"/>
        </w:rPr>
        <w:t>La comparaison des différentes simulations présentées précédemment est partiellement handicapée par le fait de prescrire les conditions aux limites aval en élévation. Ces conditions aux limites sont obtenues à partir de la solution asymptotique (pente moyenne, rugosité moyenne) de chacune des configurations étudiées. Or la pente dans la section aval est plus faible que la pente moyenne, et donc voudrait tendre vers une élévation plus élevée (du fait de la tendance à une réduction du courant). Les solutions asymptotiques expriment finalement une condition aval où la pente fluviale augmenterait au-delà de la limite, et donc tirent l’élévation vers le bas. En outre, elles sont à l’origine du problème rencontré avec la simulation à z0 variable #2, où le débit s’écarte significativement des 4m²/s.</w:t>
      </w:r>
    </w:p>
    <w:p>
      <w:pPr>
        <w:pStyle w:val="Normal"/>
        <w:jc w:val="both"/>
        <w:rPr>
          <w:rFonts w:ascii="Calibri" w:hAnsi="Calibri" w:eastAsia="Calibri" w:cs="Calibri"/>
          <w:color w:val="1F497D"/>
        </w:rPr>
      </w:pPr>
      <w:r>
        <w:rPr>
          <w:rFonts w:eastAsia="Calibri" w:cs="Calibri" w:ascii="Calibri" w:hAnsi="Calibri"/>
          <w:color w:val="1F497D"/>
        </w:rPr>
        <w:t>Nous avons donc jugé nécessaire de développer un modèle numérique simple, très semblable à celui utilisé précédemment, mais où le débit constitue la condition aux limites afin de garantir une inter-comparaison à débit identique (4m²/s) pour toutes les configurations.</w:t>
      </w:r>
    </w:p>
    <w:p>
      <w:pPr>
        <w:pStyle w:val="Normal"/>
        <w:spacing w:lineRule="auto" w:line="240"/>
        <w:jc w:val="both"/>
        <w:rPr>
          <w:rFonts w:ascii="Calibri" w:hAnsi="Calibri" w:eastAsia="Calibri" w:cs="Calibri"/>
          <w:color w:val="1F497D"/>
        </w:rPr>
      </w:pPr>
      <w:r>
        <w:rPr>
          <w:rFonts w:eastAsia="Calibri" w:cs="Calibri" w:ascii="Calibri" w:hAnsi="Calibri"/>
          <w:color w:val="1F497D"/>
        </w:rPr>
        <w:t>Pour les simulations à z0 uniformes avec contions aux limites en débit (</w:t>
      </w:r>
      <w:r>
        <w:rPr>
          <w:rFonts w:eastAsia="Calibri" w:cs="Calibri" w:ascii="Calibri" w:hAnsi="Calibri"/>
          <w:color w:val="1F497D"/>
        </w:rPr>
        <w:fldChar w:fldCharType="begin"/>
      </w:r>
      <w:r>
        <w:rPr>
          <w:rFonts w:eastAsia="Calibri" w:cs="Calibri" w:ascii="Calibri" w:hAnsi="Calibri"/>
          <w:color w:val="1F497D"/>
        </w:rPr>
        <w:instrText> REF _Ref57038474 \h </w:instrText>
      </w:r>
      <w:r>
        <w:rPr>
          <w:rFonts w:eastAsia="Calibri" w:cs="Calibri" w:ascii="Calibri" w:hAnsi="Calibri"/>
          <w:color w:val="1F497D"/>
        </w:rPr>
        <w:fldChar w:fldCharType="separate"/>
      </w:r>
      <w:r>
        <w:rPr>
          <w:rFonts w:eastAsia="Calibri" w:cs="Calibri" w:ascii="Calibri" w:hAnsi="Calibri"/>
          <w:color w:val="1F497D"/>
        </w:rPr>
        <w:t>Figure 15</w:t>
      </w:r>
      <w:r>
        <w:rPr>
          <w:rFonts w:eastAsia="Calibri" w:cs="Calibri" w:ascii="Calibri" w:hAnsi="Calibri"/>
          <w:color w:val="1F497D"/>
        </w:rPr>
        <w:fldChar w:fldCharType="end"/>
      </w:r>
      <w:r>
        <w:rPr>
          <w:rFonts w:eastAsia="Calibri" w:cs="Calibri" w:ascii="Calibri" w:hAnsi="Calibri"/>
          <w:color w:val="1F497D"/>
        </w:rPr>
        <w:t>), on observe effectivement que la profondeur, et donc aussi l’élévation de la surface libre, en section aval sont supérieures à celles des simulations forcées par les solutions asymptotiques. Par ailleurs on note que quel que soit le type de conditions aux limites, les profondeurs/élévations restent quasi-parallèle, c’est-à-dire que l’ajustement de la rugosité à un effet quasi-uniforme sur la section modélisée.</w:t>
      </w:r>
    </w:p>
    <w:p>
      <w:pPr>
        <w:pStyle w:val="Normal"/>
        <w:spacing w:lineRule="auto" w:line="240"/>
        <w:rPr>
          <w:rFonts w:ascii="Calibri" w:hAnsi="Calibri" w:eastAsia="Calibri" w:cs="Calibri"/>
          <w:color w:val="1F497D"/>
        </w:rPr>
      </w:pPr>
      <w:r>
        <w:rPr>
          <w:rFonts w:eastAsia="Calibri" w:cs="Calibri" w:ascii="Calibri" w:hAnsi="Calibri"/>
          <w:color w:val="1F497D"/>
        </w:rPr>
      </w:r>
    </w:p>
    <w:p>
      <w:pPr>
        <w:pStyle w:val="Normal"/>
        <w:jc w:val="both"/>
        <w:rPr/>
      </w:pPr>
      <w:r>
        <w:rPr/>
        <w:drawing>
          <wp:inline distT="0" distB="0" distL="0" distR="0">
            <wp:extent cx="5731510" cy="2463165"/>
            <wp:effectExtent l="0" t="0" r="0" b="0"/>
            <wp:docPr id="24" name="Imag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39" descr=""/>
                    <pic:cNvPicPr>
                      <a:picLocks noChangeAspect="1" noChangeArrowheads="1"/>
                    </pic:cNvPicPr>
                  </pic:nvPicPr>
                  <pic:blipFill>
                    <a:blip r:embed="rId28"/>
                    <a:stretch>
                      <a:fillRect/>
                    </a:stretch>
                  </pic:blipFill>
                  <pic:spPr bwMode="auto">
                    <a:xfrm>
                      <a:off x="0" y="0"/>
                      <a:ext cx="5731510" cy="2463165"/>
                    </a:xfrm>
                    <a:prstGeom prst="rect">
                      <a:avLst/>
                    </a:prstGeom>
                  </pic:spPr>
                </pic:pic>
              </a:graphicData>
            </a:graphic>
          </wp:inline>
        </w:drawing>
      </w:r>
    </w:p>
    <w:p>
      <w:pPr>
        <w:pStyle w:val="Caption1"/>
        <w:jc w:val="center"/>
        <w:rPr>
          <w:color w:val="auto"/>
        </w:rPr>
      </w:pPr>
      <w:bookmarkStart w:id="22" w:name="_Ref57038474"/>
      <w:r>
        <w:rPr>
          <w:color w:val="auto"/>
        </w:rPr>
        <w:t xml:space="preserve">Figure </w:t>
      </w:r>
      <w:r>
        <w:rPr>
          <w:color w:val="auto"/>
        </w:rPr>
        <w:fldChar w:fldCharType="begin"/>
      </w:r>
      <w:r>
        <w:rPr>
          <w:color w:val="auto"/>
        </w:rPr>
        <w:instrText> SEQ Figure \* ARABIC </w:instrText>
      </w:r>
      <w:r>
        <w:rPr>
          <w:color w:val="auto"/>
        </w:rPr>
        <w:fldChar w:fldCharType="separate"/>
      </w:r>
      <w:r>
        <w:rPr>
          <w:color w:val="auto"/>
        </w:rPr>
        <w:t>15</w:t>
      </w:r>
      <w:r>
        <w:rPr>
          <w:color w:val="auto"/>
        </w:rPr>
        <w:fldChar w:fldCharType="end"/>
      </w:r>
      <w:bookmarkEnd w:id="22"/>
      <w:r>
        <w:rPr>
          <w:color w:val="auto"/>
        </w:rPr>
        <w:t> : simulation z0 uniformes, comparaison des profondeurs suivant le type de conditions aux limites appliquées à la frontière aval</w:t>
      </w:r>
    </w:p>
    <w:p>
      <w:pPr>
        <w:pStyle w:val="Normal"/>
        <w:spacing w:lineRule="auto" w:line="240"/>
        <w:jc w:val="both"/>
        <w:rPr>
          <w:rFonts w:ascii="Calibri" w:hAnsi="Calibri" w:eastAsia="Calibri" w:cs="Calibri"/>
          <w:color w:val="1F497D"/>
        </w:rPr>
      </w:pPr>
      <w:r>
        <w:rPr>
          <w:rFonts w:eastAsia="Calibri" w:cs="Calibri" w:ascii="Calibri" w:hAnsi="Calibri"/>
          <w:color w:val="1F497D"/>
        </w:rPr>
        <w:t>Pour les simulations à z0 variables avec contions aux limites en débit (</w:t>
      </w:r>
      <w:r>
        <w:rPr>
          <w:rFonts w:eastAsia="Calibri" w:cs="Calibri" w:ascii="Calibri" w:hAnsi="Calibri"/>
          <w:color w:val="1F497D"/>
        </w:rPr>
        <w:fldChar w:fldCharType="begin"/>
      </w:r>
      <w:r>
        <w:rPr>
          <w:rFonts w:eastAsia="Calibri" w:cs="Calibri" w:ascii="Calibri" w:hAnsi="Calibri"/>
          <w:color w:val="1F497D"/>
        </w:rPr>
        <w:instrText> REF _Ref57038090 \h </w:instrText>
      </w:r>
      <w:r>
        <w:rPr>
          <w:rFonts w:eastAsia="Calibri" w:cs="Calibri" w:ascii="Calibri" w:hAnsi="Calibri"/>
          <w:color w:val="1F497D"/>
        </w:rPr>
        <w:fldChar w:fldCharType="separate"/>
      </w:r>
      <w:r>
        <w:rPr>
          <w:rFonts w:eastAsia="Calibri" w:cs="Calibri" w:ascii="Calibri" w:hAnsi="Calibri"/>
          <w:color w:val="1F497D"/>
        </w:rPr>
        <w:t>Figure 16</w:t>
      </w:r>
      <w:r>
        <w:rPr>
          <w:rFonts w:eastAsia="Calibri" w:cs="Calibri" w:ascii="Calibri" w:hAnsi="Calibri"/>
          <w:color w:val="1F497D"/>
        </w:rPr>
        <w:fldChar w:fldCharType="end"/>
      </w:r>
      <w:r>
        <w:rPr>
          <w:rFonts w:eastAsia="Calibri" w:cs="Calibri" w:ascii="Calibri" w:hAnsi="Calibri"/>
          <w:color w:val="1F497D"/>
        </w:rPr>
        <w:t xml:space="preserve">,  </w:t>
      </w:r>
      <w:r>
        <w:rPr>
          <w:rFonts w:eastAsia="Calibri" w:cs="Calibri" w:ascii="Calibri" w:hAnsi="Calibri"/>
          <w:color w:val="1F497D"/>
        </w:rPr>
        <w:fldChar w:fldCharType="begin"/>
      </w:r>
      <w:r>
        <w:rPr>
          <w:rFonts w:eastAsia="Calibri" w:cs="Calibri" w:ascii="Calibri" w:hAnsi="Calibri"/>
          <w:color w:val="1F497D"/>
        </w:rPr>
        <w:instrText> REF _Ref57038104 \h </w:instrText>
      </w:r>
      <w:r>
        <w:rPr>
          <w:rFonts w:eastAsia="Calibri" w:cs="Calibri" w:ascii="Calibri" w:hAnsi="Calibri"/>
          <w:color w:val="1F497D"/>
        </w:rPr>
        <w:fldChar w:fldCharType="separate"/>
      </w:r>
      <w:r>
        <w:rPr>
          <w:rFonts w:eastAsia="Calibri" w:cs="Calibri" w:ascii="Calibri" w:hAnsi="Calibri"/>
          <w:color w:val="1F497D"/>
        </w:rPr>
        <w:t>Figure 17</w:t>
      </w:r>
      <w:r>
        <w:rPr>
          <w:rFonts w:eastAsia="Calibri" w:cs="Calibri" w:ascii="Calibri" w:hAnsi="Calibri"/>
          <w:color w:val="1F497D"/>
        </w:rPr>
        <w:fldChar w:fldCharType="end"/>
      </w:r>
      <w:r>
        <w:rPr>
          <w:rFonts w:eastAsia="Calibri" w:cs="Calibri" w:ascii="Calibri" w:hAnsi="Calibri"/>
          <w:color w:val="1F497D"/>
        </w:rPr>
        <w:t xml:space="preserve"> et </w:t>
      </w:r>
      <w:r>
        <w:rPr>
          <w:rFonts w:eastAsia="Calibri" w:cs="Calibri" w:ascii="Calibri" w:hAnsi="Calibri"/>
          <w:color w:val="1F497D"/>
        </w:rPr>
        <w:fldChar w:fldCharType="begin"/>
      </w:r>
      <w:r>
        <w:rPr>
          <w:rFonts w:eastAsia="Calibri" w:cs="Calibri" w:ascii="Calibri" w:hAnsi="Calibri"/>
          <w:color w:val="1F497D"/>
        </w:rPr>
        <w:instrText> REF _Ref57038989 \h </w:instrText>
      </w:r>
      <w:r>
        <w:rPr>
          <w:rFonts w:eastAsia="Calibri" w:cs="Calibri" w:ascii="Calibri" w:hAnsi="Calibri"/>
          <w:color w:val="1F497D"/>
        </w:rPr>
        <w:fldChar w:fldCharType="separate"/>
      </w:r>
      <w:r>
        <w:rPr>
          <w:rFonts w:eastAsia="Calibri" w:cs="Calibri" w:ascii="Calibri" w:hAnsi="Calibri"/>
          <w:color w:val="1F497D"/>
        </w:rPr>
        <w:t>Figure 18</w:t>
      </w:r>
      <w:r>
        <w:rPr>
          <w:rFonts w:eastAsia="Calibri" w:cs="Calibri" w:ascii="Calibri" w:hAnsi="Calibri"/>
          <w:color w:val="1F497D"/>
        </w:rPr>
        <w:fldChar w:fldCharType="end"/>
      </w:r>
      <w:r>
        <w:rPr>
          <w:rFonts w:eastAsia="Calibri" w:cs="Calibri" w:ascii="Calibri" w:hAnsi="Calibri"/>
          <w:color w:val="1F497D"/>
        </w:rPr>
        <w:t>), on observe également que la profondeur, et donc aussi l’élévation de la surface libre, en section aval sont supérieures à celles des simulations asymptotiques. Quel que soit le type de conditions aux limites, la rugosité fortement augmentée en section centrale de la configuration #2 intensifie l’écart relatif des élévations/profondeur. Par contre, dans la simulation avec condition aval en débit, cet écart se maintient dans la section aval, alors qu’il était contraint à se réduire dans la simulation avec condition aval en élévation. Ceci nous indique que la modification de la rugosité dans une section intermédiaire de la configuration va impacter le niveau du fleuve dans cette section, mais également à l’aval de celle-ci, et par conséquent constituer un levier de modulation différencié de ce niveau entre l’aval et l’amont.</w:t>
      </w:r>
    </w:p>
    <w:p>
      <w:pPr>
        <w:pStyle w:val="Normal"/>
        <w:spacing w:lineRule="auto" w:line="240"/>
        <w:rPr>
          <w:rFonts w:ascii="Calibri" w:hAnsi="Calibri" w:eastAsia="Calibri" w:cs="Calibri"/>
          <w:color w:val="1F497D"/>
        </w:rPr>
      </w:pPr>
      <w:r>
        <w:rPr>
          <w:rFonts w:eastAsia="Calibri" w:cs="Calibri" w:ascii="Calibri" w:hAnsi="Calibri"/>
          <w:color w:val="1F497D"/>
        </w:rPr>
      </w:r>
    </w:p>
    <w:p>
      <w:pPr>
        <w:pStyle w:val="Normal"/>
        <w:jc w:val="both"/>
        <w:rPr>
          <w:rFonts w:ascii="Calibri" w:hAnsi="Calibri" w:eastAsia="Calibri" w:cs="Calibri"/>
          <w:color w:val="1F497D"/>
        </w:rPr>
      </w:pPr>
      <w:r>
        <w:rPr/>
        <w:drawing>
          <wp:inline distT="0" distB="0" distL="0" distR="0">
            <wp:extent cx="5731510" cy="2463165"/>
            <wp:effectExtent l="0" t="0" r="0" b="0"/>
            <wp:docPr id="25"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 descr=""/>
                    <pic:cNvPicPr>
                      <a:picLocks noChangeAspect="1" noChangeArrowheads="1"/>
                    </pic:cNvPicPr>
                  </pic:nvPicPr>
                  <pic:blipFill>
                    <a:blip r:embed="rId29"/>
                    <a:stretch>
                      <a:fillRect/>
                    </a:stretch>
                  </pic:blipFill>
                  <pic:spPr bwMode="auto">
                    <a:xfrm>
                      <a:off x="0" y="0"/>
                      <a:ext cx="5731510" cy="2463165"/>
                    </a:xfrm>
                    <a:prstGeom prst="rect">
                      <a:avLst/>
                    </a:prstGeom>
                  </pic:spPr>
                </pic:pic>
              </a:graphicData>
            </a:graphic>
          </wp:inline>
        </w:drawing>
      </w:r>
    </w:p>
    <w:p>
      <w:pPr>
        <w:pStyle w:val="Caption1"/>
        <w:jc w:val="center"/>
        <w:rPr>
          <w:color w:val="auto"/>
        </w:rPr>
      </w:pPr>
      <w:bookmarkStart w:id="23" w:name="_Ref57038090"/>
      <w:r>
        <w:rPr>
          <w:color w:val="auto"/>
        </w:rPr>
        <w:t xml:space="preserve">Figure </w:t>
      </w:r>
      <w:r>
        <w:rPr>
          <w:color w:val="auto"/>
        </w:rPr>
        <w:fldChar w:fldCharType="begin"/>
      </w:r>
      <w:r>
        <w:rPr>
          <w:color w:val="auto"/>
        </w:rPr>
        <w:instrText> SEQ Figure \* ARABIC </w:instrText>
      </w:r>
      <w:r>
        <w:rPr>
          <w:color w:val="auto"/>
        </w:rPr>
        <w:fldChar w:fldCharType="separate"/>
      </w:r>
      <w:r>
        <w:rPr>
          <w:color w:val="auto"/>
        </w:rPr>
        <w:t>16</w:t>
      </w:r>
      <w:r>
        <w:rPr>
          <w:color w:val="auto"/>
        </w:rPr>
        <w:fldChar w:fldCharType="end"/>
      </w:r>
      <w:bookmarkEnd w:id="23"/>
      <w:r>
        <w:rPr>
          <w:color w:val="auto"/>
        </w:rPr>
        <w:t> : simulation z0 variable #1 avec conditions aux limites aval en débit</w:t>
      </w:r>
    </w:p>
    <w:p>
      <w:pPr>
        <w:pStyle w:val="Normal"/>
        <w:jc w:val="both"/>
        <w:rPr/>
      </w:pPr>
      <w:r>
        <w:rPr/>
        <w:drawing>
          <wp:inline distT="0" distB="0" distL="0" distR="0">
            <wp:extent cx="5731510" cy="2463165"/>
            <wp:effectExtent l="0" t="0" r="0" b="0"/>
            <wp:docPr id="2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 descr=""/>
                    <pic:cNvPicPr>
                      <a:picLocks noChangeAspect="1" noChangeArrowheads="1"/>
                    </pic:cNvPicPr>
                  </pic:nvPicPr>
                  <pic:blipFill>
                    <a:blip r:embed="rId30"/>
                    <a:stretch>
                      <a:fillRect/>
                    </a:stretch>
                  </pic:blipFill>
                  <pic:spPr bwMode="auto">
                    <a:xfrm>
                      <a:off x="0" y="0"/>
                      <a:ext cx="5731510" cy="2463165"/>
                    </a:xfrm>
                    <a:prstGeom prst="rect">
                      <a:avLst/>
                    </a:prstGeom>
                  </pic:spPr>
                </pic:pic>
              </a:graphicData>
            </a:graphic>
          </wp:inline>
        </w:drawing>
      </w:r>
    </w:p>
    <w:p>
      <w:pPr>
        <w:pStyle w:val="Caption1"/>
        <w:jc w:val="center"/>
        <w:rPr>
          <w:color w:val="auto"/>
        </w:rPr>
      </w:pPr>
      <w:bookmarkStart w:id="24" w:name="_Ref57038104"/>
      <w:r>
        <w:rPr>
          <w:color w:val="auto"/>
        </w:rPr>
        <w:t xml:space="preserve">Figure </w:t>
      </w:r>
      <w:r>
        <w:rPr>
          <w:color w:val="auto"/>
        </w:rPr>
        <w:fldChar w:fldCharType="begin"/>
      </w:r>
      <w:r>
        <w:rPr>
          <w:color w:val="auto"/>
        </w:rPr>
        <w:instrText> SEQ Figure \* ARABIC </w:instrText>
      </w:r>
      <w:r>
        <w:rPr>
          <w:color w:val="auto"/>
        </w:rPr>
        <w:fldChar w:fldCharType="separate"/>
      </w:r>
      <w:r>
        <w:rPr>
          <w:color w:val="auto"/>
        </w:rPr>
        <w:t>17</w:t>
      </w:r>
      <w:r>
        <w:rPr>
          <w:color w:val="auto"/>
        </w:rPr>
        <w:fldChar w:fldCharType="end"/>
      </w:r>
      <w:bookmarkEnd w:id="24"/>
      <w:r>
        <w:rPr>
          <w:color w:val="auto"/>
        </w:rPr>
        <w:t> : simulation z0 variable #2 avec conditions aux limites aval en débit</w:t>
      </w:r>
    </w:p>
    <w:p>
      <w:pPr>
        <w:pStyle w:val="Normal"/>
        <w:jc w:val="both"/>
        <w:rPr/>
      </w:pPr>
      <w:r>
        <w:rPr/>
      </w:r>
    </w:p>
    <w:p>
      <w:pPr>
        <w:pStyle w:val="Normal"/>
        <w:jc w:val="both"/>
        <w:rPr/>
      </w:pPr>
      <w:r>
        <w:rPr/>
        <w:drawing>
          <wp:inline distT="0" distB="0" distL="0" distR="0">
            <wp:extent cx="5731510" cy="2463165"/>
            <wp:effectExtent l="0" t="0" r="0" b="0"/>
            <wp:docPr id="27" name="Imag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40" descr=""/>
                    <pic:cNvPicPr>
                      <a:picLocks noChangeAspect="1" noChangeArrowheads="1"/>
                    </pic:cNvPicPr>
                  </pic:nvPicPr>
                  <pic:blipFill>
                    <a:blip r:embed="rId31"/>
                    <a:stretch>
                      <a:fillRect/>
                    </a:stretch>
                  </pic:blipFill>
                  <pic:spPr bwMode="auto">
                    <a:xfrm>
                      <a:off x="0" y="0"/>
                      <a:ext cx="5731510" cy="2463165"/>
                    </a:xfrm>
                    <a:prstGeom prst="rect">
                      <a:avLst/>
                    </a:prstGeom>
                  </pic:spPr>
                </pic:pic>
              </a:graphicData>
            </a:graphic>
          </wp:inline>
        </w:drawing>
      </w:r>
    </w:p>
    <w:p>
      <w:pPr>
        <w:pStyle w:val="Caption1"/>
        <w:jc w:val="center"/>
        <w:rPr>
          <w:color w:val="auto"/>
        </w:rPr>
      </w:pPr>
      <w:bookmarkStart w:id="25" w:name="_Ref57038989"/>
      <w:r>
        <w:rPr>
          <w:color w:val="auto"/>
        </w:rPr>
        <w:t xml:space="preserve">Figure </w:t>
      </w:r>
      <w:r>
        <w:rPr>
          <w:color w:val="auto"/>
        </w:rPr>
        <w:fldChar w:fldCharType="begin"/>
      </w:r>
      <w:r>
        <w:rPr>
          <w:color w:val="auto"/>
        </w:rPr>
        <w:instrText> SEQ Figure \* ARABIC </w:instrText>
      </w:r>
      <w:r>
        <w:rPr>
          <w:color w:val="auto"/>
        </w:rPr>
        <w:fldChar w:fldCharType="separate"/>
      </w:r>
      <w:r>
        <w:rPr>
          <w:color w:val="auto"/>
        </w:rPr>
        <w:t>18</w:t>
      </w:r>
      <w:r>
        <w:rPr>
          <w:color w:val="auto"/>
        </w:rPr>
        <w:fldChar w:fldCharType="end"/>
      </w:r>
      <w:bookmarkEnd w:id="25"/>
      <w:r>
        <w:rPr>
          <w:color w:val="auto"/>
        </w:rPr>
        <w:t> : simulation z0 variables, comparaison des profondeurs suivant le type de conditions aux limites appliquées à la frontière aval</w:t>
      </w:r>
    </w:p>
    <w:p>
      <w:pPr>
        <w:pStyle w:val="Normal"/>
        <w:jc w:val="both"/>
        <w:rPr/>
      </w:pPr>
      <w:r>
        <w:rPr/>
      </w:r>
    </w:p>
    <w:p>
      <w:pPr>
        <w:pStyle w:val="Normal"/>
        <w:jc w:val="both"/>
        <w:rPr>
          <w:rFonts w:ascii="Calibri" w:hAnsi="Calibri" w:eastAsia="Calibri" w:cs="Calibri"/>
          <w:b/>
          <w:b/>
          <w:color w:val="1F497D"/>
        </w:rPr>
      </w:pPr>
      <w:r>
        <w:rPr>
          <w:rFonts w:eastAsia="Calibri" w:cs="Calibri" w:ascii="Calibri" w:hAnsi="Calibri"/>
          <w:b/>
          <w:color w:val="1F497D"/>
        </w:rPr>
        <w:t>Conclusion :</w:t>
      </w:r>
    </w:p>
    <w:p>
      <w:pPr>
        <w:pStyle w:val="Normal"/>
        <w:jc w:val="both"/>
        <w:rPr>
          <w:rFonts w:ascii="Calibri" w:hAnsi="Calibri" w:eastAsia="Calibri" w:cs="Calibri"/>
          <w:color w:val="1F497D"/>
        </w:rPr>
      </w:pPr>
      <w:r>
        <w:rPr>
          <w:rFonts w:eastAsia="Calibri" w:cs="Calibri" w:ascii="Calibri" w:hAnsi="Calibri"/>
          <w:color w:val="1F497D"/>
        </w:rPr>
      </w:r>
    </w:p>
    <w:p>
      <w:pPr>
        <w:pStyle w:val="Normal"/>
        <w:jc w:val="both"/>
        <w:rPr>
          <w:rFonts w:ascii="Calibri" w:hAnsi="Calibri" w:eastAsia="Calibri" w:cs="Calibri"/>
        </w:rPr>
      </w:pPr>
      <w:r>
        <w:rPr>
          <w:rFonts w:eastAsia="Calibri" w:cs="Calibri" w:ascii="Calibri" w:hAnsi="Calibri"/>
          <w:color w:val="1F497D"/>
        </w:rPr>
        <w:t>On a démontré que la rugosité permet de d’ajuster très efficacement la profondeur fluviale, pour un débit fixé, et donc constitue un paramètre de calibration central en estuaire amont. Dans la pratique, on ajuste la rugosité dans la partie la plus amont du fleuve afin d’assurer un débit cohérent avec les courbes de tarage correspondant à la station dont sont tirés les conditions limites formulées en élévation. Une fois cette étape réalisée, on pourra ajuster une rugosité variable pour que l’élévation de la surface libre coïncide avec les observations en aval de la frontière ouverte avec très peu de rétroaction sur la partie la plus amont. En quelque sorte, contrairement à l’estuaire aval, soumis à la marée, la calibration de la configuration amont doit se faire de l’amont vers l’aval. Cette stratégie a été confortée par l’exercice de calibration de la configuration Gironde réaliste, présenté dans les sections suivantes. Néanmoins, l’altitude du lit de la rivière constitue un paramètre dont le réalisme est souvent discutable (supposé connue dans cette étude académique), qui peut impacter la solution hydrodynamique et fortement perturber l’ajustement des hauteurs de surface libre du modèle par rapport aux observations et donc la calibration amont par l’ajustement de la rugosité. L’influence certes diminuée mais encore notable de la marée dans l’estuaire amont constitue dans la pratique une difficulté supplémentaire pour déterminer un niveau moyen caractéristique de l’écoulement fluvial, du fait de la dissymétrie de la modulation marée de mortes eaux/marée de vives eaux et donc de sa signature sur le niveau moyen sur des périodes de 14 jours (M2/S2) et 28 jours (M2/N2).</w:t>
      </w:r>
      <w:bookmarkStart w:id="26" w:name="_GoBack"/>
      <w:bookmarkEnd w:id="26"/>
    </w:p>
    <w:p>
      <w:pPr>
        <w:pStyle w:val="Normal"/>
        <w:jc w:val="both"/>
        <w:rPr>
          <w:rFonts w:ascii="Calibri" w:hAnsi="Calibri" w:eastAsia="Calibri" w:cs="Calibri"/>
        </w:rPr>
      </w:pPr>
      <w:r>
        <w:rPr>
          <w:rFonts w:eastAsia="Calibri" w:cs="Calibri" w:ascii="Calibri" w:hAnsi="Calibri"/>
        </w:rPr>
        <w:t xml:space="preserve">  </w:t>
      </w:r>
    </w:p>
    <w:p>
      <w:pPr>
        <w:pStyle w:val="Heading3"/>
        <w:numPr>
          <w:ilvl w:val="2"/>
          <w:numId w:val="3"/>
        </w:numPr>
        <w:rPr/>
      </w:pPr>
      <w:r>
        <w:rPr/>
        <w:t xml:space="preserve"> </w:t>
      </w:r>
      <w:bookmarkStart w:id="27" w:name="_Toc56526509"/>
      <w:r>
        <w:rPr/>
        <w:t>Calage du débit à La Réole</w:t>
      </w:r>
      <w:bookmarkEnd w:id="27"/>
    </w:p>
    <w:p>
      <w:pPr>
        <w:pStyle w:val="Normal"/>
        <w:rPr>
          <w:rFonts w:ascii="Calibri" w:hAnsi="Calibri" w:eastAsia="Calibri" w:cs="Calibri"/>
        </w:rPr>
      </w:pPr>
      <w:r>
        <w:rPr>
          <w:rFonts w:eastAsia="Calibri" w:cs="Calibri" w:ascii="Calibri" w:hAnsi="Calibri"/>
        </w:rPr>
      </w:r>
    </w:p>
    <w:p>
      <w:pPr>
        <w:pStyle w:val="Normal"/>
        <w:jc w:val="both"/>
        <w:rPr>
          <w:rFonts w:ascii="Calibri" w:hAnsi="Calibri" w:eastAsia="Calibri" w:cs="Calibri"/>
        </w:rPr>
      </w:pPr>
      <w:r>
        <w:rPr>
          <w:rFonts w:eastAsia="Calibri" w:cs="Calibri" w:ascii="Calibri" w:hAnsi="Calibri"/>
        </w:rPr>
        <w:t xml:space="preserve">     </w:t>
      </w:r>
      <w:r>
        <w:rPr>
          <w:rFonts w:eastAsia="Calibri" w:cs="Calibri" w:ascii="Calibri" w:hAnsi="Calibri"/>
        </w:rPr>
        <w:t>Une condition limite fluviale, à l’amont ou à l’aval, nécessite de prescrire soit l’élévation, soit le débit. Prescrire les deux conjointement présente un risque d’inconsistance numérique, qui peut se traduire par l’instabilité ou la divergence des simulations numériques à proximité de la frontière. Dans le modèle T-UGOm, les deux options sont disponibles, néanmoins la condition en élévation est considérée comme plus naturelle puisque correspondant à une observation directe par limnigraphe, et n’est pas dépendante de la pertinence de la courbe de tarage associée à la station hydrologique (en particulier dans les cas les plus extrêmes). Néanmoins, le débit reproduit par le modèle nécessite, pour être adéquat, un réalisme suffisant dans la portion fluviale en aval de la condition aux limites, en particulier dans les sections les plus en pente en termes de surface moyenne.</w:t>
      </w:r>
    </w:p>
    <w:p>
      <w:pPr>
        <w:pStyle w:val="Normal"/>
        <w:jc w:val="both"/>
        <w:rPr/>
      </w:pPr>
      <w:r>
        <w:rPr>
          <w:rFonts w:eastAsia="Calibri" w:cs="Calibri" w:ascii="Calibri" w:hAnsi="Calibri"/>
        </w:rPr>
        <w:t xml:space="preserve">     </w:t>
      </w:r>
      <w:r>
        <w:rPr>
          <w:rFonts w:eastAsia="Calibri" w:cs="Calibri" w:ascii="Calibri" w:hAnsi="Calibri"/>
        </w:rPr>
        <w:t>Schématiquement, l’épaisseur de la colonne d’eau s’ajuste pour que le frottement de fond compense le gradient de pression dû à la pente de la surface libre. Si on fixe cette pente (et c’est le cas en imposant une élévation à l’amont du fleuve), on fixe un niveau de frottement. Si la rugosité du fond est faible, une vitesse supérieure (et donc un débit accru) est nécessaire pour obtenir la compensation par rapport à une rugosité plus forte. Si le lit du fleuve est profond, un débit plus important sera nécessaire pour obtenir la vitesse de compensation que si le lit du fleuve est peu profond.</w:t>
      </w:r>
    </w:p>
    <w:p>
      <w:pPr>
        <w:pStyle w:val="Normal"/>
        <w:jc w:val="both"/>
        <w:rPr/>
      </w:pPr>
      <w:r>
        <w:rPr/>
      </w:r>
    </w:p>
    <w:p>
      <w:pPr>
        <w:pStyle w:val="Normal"/>
        <w:jc w:val="both"/>
        <w:rPr/>
      </w:pPr>
      <w:r>
        <w:rPr>
          <w:rFonts w:eastAsia="Calibri" w:cs="Calibri" w:ascii="Calibri" w:hAnsi="Calibri"/>
        </w:rPr>
        <w:t xml:space="preserve"> </w:t>
      </w:r>
      <w:r>
        <w:rPr>
          <w:rFonts w:eastAsia="Calibri" w:cs="Calibri" w:ascii="Calibri" w:hAnsi="Calibri"/>
        </w:rPr>
        <w:t xml:space="preserve">Dans le cas de la Réole, l’élévation a été prescrite et les paramètres sont ajustés afin d’avoir un débit réaliste. Le réalisme de R00_B00_F00 est évalué à la </w:t>
      </w:r>
      <w:r>
        <w:rPr>
          <w:rFonts w:eastAsia="Calibri" w:cs="Calibri" w:ascii="Calibri" w:hAnsi="Calibri"/>
        </w:rPr>
        <w:fldChar w:fldCharType="begin"/>
      </w:r>
      <w:r>
        <w:rPr>
          <w:rFonts w:eastAsia="Calibri" w:cs="Calibri" w:ascii="Calibri" w:hAnsi="Calibri"/>
        </w:rPr>
        <w:instrText> REF Ref_Figure6_label_and_number \h </w:instrText>
      </w:r>
      <w:r>
        <w:rPr>
          <w:rFonts w:eastAsia="Calibri" w:cs="Calibri" w:ascii="Calibri" w:hAnsi="Calibri"/>
        </w:rPr>
        <w:fldChar w:fldCharType="separate"/>
      </w:r>
      <w:r>
        <w:rPr>
          <w:rFonts w:eastAsia="Calibri" w:cs="Calibri" w:ascii="Calibri" w:hAnsi="Calibri"/>
        </w:rPr>
        <w:t>Figure 8</w:t>
      </w:r>
      <w:r>
        <w:rPr>
          <w:rFonts w:eastAsia="Calibri" w:cs="Calibri" w:ascii="Calibri" w:hAnsi="Calibri"/>
        </w:rPr>
        <w:fldChar w:fldCharType="end"/>
      </w:r>
      <w:r>
        <w:rPr>
          <w:rFonts w:eastAsia="Calibri" w:cs="Calibri" w:ascii="Calibri" w:hAnsi="Calibri"/>
        </w:rPr>
        <w:t xml:space="preserve">.  Les observations mettent en avant la variabilité saisonnière du débit et de l’élévation à La Réole et qui se caractérise par des crues importantes dans la première moitié de l’année. Après une dizaine de jour, le modèle se cale aux observations et reproduit assez bien les variabilités en hauteurs et débits.  Toutefois R00_B00_F00 dans les conditions réelles d’observation des paramètres sous estime l’élévation et surestime le débit. Une chose à faire pour ajuster le débit est d’agir en premier sur la rugosité.   Compte tenu du temps très long nécessaire pour réaliser des simulations sur l’entière période des observations,  les  expériences de sensibilités ont été conduite juste sur les deux premiers mois de l’année 2016.  Pour les représentation nous faisons un zoom sur la période du 04 au 24/02 qui se distingue par une période stable et une crue maximale. </w:t>
      </w:r>
    </w:p>
    <w:p>
      <w:pPr>
        <w:pStyle w:val="Normal"/>
        <w:rPr/>
      </w:pPr>
      <w:r>
        <w:rPr/>
        <w:t xml:space="preserve"> </w:t>
      </w:r>
      <w:r>
        <w:rPr/>
        <w:drawing>
          <wp:inline distT="0" distB="0" distL="0" distR="0">
            <wp:extent cx="6162675" cy="3790950"/>
            <wp:effectExtent l="0" t="0" r="0" b="0"/>
            <wp:docPr id="28"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png" descr=""/>
                    <pic:cNvPicPr>
                      <a:picLocks noChangeAspect="1" noChangeArrowheads="1"/>
                    </pic:cNvPicPr>
                  </pic:nvPicPr>
                  <pic:blipFill>
                    <a:blip r:embed="rId32"/>
                    <a:srcRect l="3148" t="0" r="623" b="0"/>
                    <a:stretch>
                      <a:fillRect/>
                    </a:stretch>
                  </pic:blipFill>
                  <pic:spPr bwMode="auto">
                    <a:xfrm>
                      <a:off x="0" y="0"/>
                      <a:ext cx="6162675" cy="3790950"/>
                    </a:xfrm>
                    <a:prstGeom prst="rect">
                      <a:avLst/>
                    </a:prstGeom>
                  </pic:spPr>
                </pic:pic>
              </a:graphicData>
            </a:graphic>
          </wp:inline>
        </w:drawing>
      </w:r>
    </w:p>
    <w:p>
      <w:pPr>
        <w:pStyle w:val="Normal"/>
        <w:rPr/>
      </w:pPr>
      <w:r>
        <w:rPr/>
        <w:t xml:space="preserve">       </w:t>
      </w:r>
      <w:r>
        <w:rPr/>
        <w:drawing>
          <wp:inline distT="0" distB="0" distL="0" distR="0">
            <wp:extent cx="5731510" cy="3492500"/>
            <wp:effectExtent l="0" t="0" r="0" b="0"/>
            <wp:docPr id="29" name="image1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2.png" descr=""/>
                    <pic:cNvPicPr>
                      <a:picLocks noChangeAspect="1" noChangeArrowheads="1"/>
                    </pic:cNvPicPr>
                  </pic:nvPicPr>
                  <pic:blipFill>
                    <a:blip r:embed="rId33"/>
                    <a:stretch>
                      <a:fillRect/>
                    </a:stretch>
                  </pic:blipFill>
                  <pic:spPr bwMode="auto">
                    <a:xfrm>
                      <a:off x="0" y="0"/>
                      <a:ext cx="5731510" cy="3492500"/>
                    </a:xfrm>
                    <a:prstGeom prst="rect">
                      <a:avLst/>
                    </a:prstGeom>
                  </pic:spPr>
                </pic:pic>
              </a:graphicData>
            </a:graphic>
          </wp:inline>
        </w:drawing>
      </w:r>
    </w:p>
    <w:p>
      <w:pPr>
        <w:pStyle w:val="Normal"/>
        <w:jc w:val="center"/>
        <w:rPr/>
      </w:pPr>
      <w:bookmarkStart w:id="28" w:name="Ref_Figure13_label_and_number"/>
      <w:r>
        <w:rPr>
          <w:sz w:val="18"/>
          <w:szCs w:val="18"/>
        </w:rPr>
        <w:t xml:space="preserve">Figure </w:t>
      </w:r>
      <w:r>
        <w:rPr>
          <w:sz w:val="18"/>
          <w:szCs w:val="18"/>
        </w:rPr>
        <w:fldChar w:fldCharType="begin"/>
      </w:r>
      <w:r>
        <w:rPr>
          <w:sz w:val="18"/>
          <w:szCs w:val="18"/>
        </w:rPr>
        <w:instrText> SEQ Figure \* ARABIC </w:instrText>
      </w:r>
      <w:r>
        <w:rPr>
          <w:sz w:val="18"/>
          <w:szCs w:val="18"/>
        </w:rPr>
        <w:fldChar w:fldCharType="separate"/>
      </w:r>
      <w:r>
        <w:rPr>
          <w:sz w:val="18"/>
          <w:szCs w:val="18"/>
        </w:rPr>
        <w:t>19</w:t>
      </w:r>
      <w:r>
        <w:rPr>
          <w:sz w:val="18"/>
          <w:szCs w:val="18"/>
        </w:rPr>
        <w:fldChar w:fldCharType="end"/>
      </w:r>
      <w:bookmarkEnd w:id="28"/>
      <w:r>
        <w:rPr>
          <w:sz w:val="18"/>
          <w:szCs w:val="18"/>
        </w:rPr>
        <w:t xml:space="preserve">: Débit (en haut) et élévation (en bas) à La Réole. Les observations sont en noirs et le modèle en bleu. </w:t>
      </w:r>
    </w:p>
    <w:p>
      <w:pPr>
        <w:pStyle w:val="Normal"/>
        <w:rPr/>
      </w:pPr>
      <w:r>
        <w:rPr/>
      </w:r>
    </w:p>
    <w:p>
      <w:pPr>
        <w:pStyle w:val="Normal"/>
        <w:rPr/>
      </w:pPr>
      <w:r>
        <w:rPr/>
        <w:drawing>
          <wp:inline distT="0" distB="0" distL="0" distR="0">
            <wp:extent cx="5490845" cy="3590925"/>
            <wp:effectExtent l="0" t="0" r="0" b="0"/>
            <wp:docPr id="30"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png" descr=""/>
                    <pic:cNvPicPr>
                      <a:picLocks noChangeAspect="1" noChangeArrowheads="1"/>
                    </pic:cNvPicPr>
                  </pic:nvPicPr>
                  <pic:blipFill>
                    <a:blip r:embed="rId34"/>
                    <a:stretch>
                      <a:fillRect/>
                    </a:stretch>
                  </pic:blipFill>
                  <pic:spPr bwMode="auto">
                    <a:xfrm>
                      <a:off x="0" y="0"/>
                      <a:ext cx="5490845" cy="3590925"/>
                    </a:xfrm>
                    <a:prstGeom prst="rect">
                      <a:avLst/>
                    </a:prstGeom>
                  </pic:spPr>
                </pic:pic>
              </a:graphicData>
            </a:graphic>
          </wp:inline>
        </w:drawing>
      </w:r>
    </w:p>
    <w:p>
      <w:pPr>
        <w:pStyle w:val="Normal"/>
        <w:rPr/>
      </w:pPr>
      <w:bookmarkStart w:id="29" w:name="Ref_Figure14_label_and_number"/>
      <w:r>
        <w:rPr>
          <w:sz w:val="18"/>
          <w:szCs w:val="18"/>
        </w:rPr>
        <w:t xml:space="preserve">Figure </w:t>
      </w:r>
      <w:r>
        <w:rPr>
          <w:sz w:val="18"/>
          <w:szCs w:val="18"/>
        </w:rPr>
        <w:fldChar w:fldCharType="begin"/>
      </w:r>
      <w:r>
        <w:rPr>
          <w:sz w:val="18"/>
          <w:szCs w:val="18"/>
        </w:rPr>
        <w:instrText> SEQ Figure \* ARABIC </w:instrText>
      </w:r>
      <w:r>
        <w:rPr>
          <w:sz w:val="18"/>
          <w:szCs w:val="18"/>
        </w:rPr>
        <w:fldChar w:fldCharType="separate"/>
      </w:r>
      <w:r>
        <w:rPr>
          <w:sz w:val="18"/>
          <w:szCs w:val="18"/>
        </w:rPr>
        <w:t>20</w:t>
      </w:r>
      <w:r>
        <w:rPr>
          <w:sz w:val="18"/>
          <w:szCs w:val="18"/>
        </w:rPr>
        <w:fldChar w:fldCharType="end"/>
      </w:r>
      <w:bookmarkEnd w:id="29"/>
      <w:r>
        <w:rPr>
          <w:sz w:val="18"/>
          <w:szCs w:val="18"/>
        </w:rPr>
        <w:t xml:space="preserve">: Débit  à La Réole pour différentes rugosités. </w:t>
      </w:r>
    </w:p>
    <w:p>
      <w:pPr>
        <w:pStyle w:val="Normal"/>
        <w:jc w:val="center"/>
        <w:rPr>
          <w:sz w:val="18"/>
          <w:szCs w:val="18"/>
        </w:rPr>
      </w:pPr>
      <w:r>
        <w:rPr>
          <w:sz w:val="18"/>
          <w:szCs w:val="18"/>
        </w:rPr>
      </w:r>
    </w:p>
    <w:p>
      <w:pPr>
        <w:pStyle w:val="Normal"/>
        <w:jc w:val="center"/>
        <w:rPr>
          <w:sz w:val="18"/>
          <w:szCs w:val="18"/>
        </w:rPr>
      </w:pPr>
      <w:r>
        <w:rPr>
          <w:sz w:val="18"/>
          <w:szCs w:val="18"/>
        </w:rPr>
      </w:r>
    </w:p>
    <w:p>
      <w:pPr>
        <w:pStyle w:val="Normal"/>
        <w:jc w:val="both"/>
        <w:rPr/>
      </w:pPr>
      <w:bookmarkStart w:id="30" w:name="_3znysh7"/>
      <w:bookmarkEnd w:id="30"/>
      <w:r>
        <w:rPr>
          <w:rFonts w:eastAsia="Calibri" w:cs="Calibri" w:ascii="Calibri" w:hAnsi="Calibri"/>
        </w:rPr>
        <w:t xml:space="preserve">     </w:t>
      </w:r>
      <w:r>
        <w:rPr>
          <w:rFonts w:eastAsia="Calibri" w:cs="Calibri" w:ascii="Calibri" w:hAnsi="Calibri"/>
        </w:rPr>
        <w:t>Une série de tests a  été menée en variant R (</w:t>
      </w:r>
      <w:r>
        <w:rPr>
          <w:rFonts w:eastAsia="Calibri" w:cs="Calibri" w:ascii="Calibri" w:hAnsi="Calibri"/>
        </w:rPr>
        <w:fldChar w:fldCharType="begin"/>
      </w:r>
      <w:r>
        <w:rPr>
          <w:rFonts w:eastAsia="Calibri" w:cs="Calibri" w:ascii="Calibri" w:hAnsi="Calibri"/>
        </w:rPr>
        <w:instrText> REF Ref_Figure14_label_and_number \h </w:instrText>
      </w:r>
      <w:r>
        <w:rPr>
          <w:rFonts w:eastAsia="Calibri" w:cs="Calibri" w:ascii="Calibri" w:hAnsi="Calibri"/>
        </w:rPr>
        <w:fldChar w:fldCharType="separate"/>
      </w:r>
      <w:r>
        <w:rPr>
          <w:rFonts w:eastAsia="Calibri" w:cs="Calibri" w:ascii="Calibri" w:hAnsi="Calibri"/>
        </w:rPr>
        <w:t>Figure 20</w:t>
      </w:r>
      <w:r>
        <w:rPr>
          <w:rFonts w:eastAsia="Calibri" w:cs="Calibri" w:ascii="Calibri" w:hAnsi="Calibri"/>
        </w:rPr>
        <w:fldChar w:fldCharType="end"/>
      </w:r>
      <w:r>
        <w:rPr>
          <w:rFonts w:eastAsia="Calibri" w:cs="Calibri" w:ascii="Calibri" w:hAnsi="Calibri"/>
        </w:rPr>
        <w:t>).  Une première chose a été de tester la sensibilité du débit à la rugosité à la section 14 entre Castet et La Réole. Comme espéré, augmenter la rugosité à cette section suffit à ramener le débit proche des valeurs observées (voir R01_B00_F00, R03_B00_F00 et R05_B00_F00).  L’expérience R03_B00_F00 simule parfaitement le débit. Nous avons donc fixé la rugosité à sa valeur dans R03 et conduit des tests supplémentaires de sensibilité sur B et F. Nous nous sommes aperçu que l’impact de F est plutôt minime tandis l’approfondissement du seuil de bathymétrie a tendance à diminuer légèrement le débit.</w:t>
      </w:r>
    </w:p>
    <w:p>
      <w:pPr>
        <w:pStyle w:val="Normal"/>
        <w:jc w:val="both"/>
        <w:rPr>
          <w:rFonts w:ascii="Calibri" w:hAnsi="Calibri" w:eastAsia="Calibri" w:cs="Calibri"/>
          <w:color w:val="0000FF"/>
        </w:rPr>
      </w:pPr>
      <w:bookmarkStart w:id="31" w:name="_2et92p0"/>
      <w:bookmarkEnd w:id="31"/>
      <w:r>
        <w:rPr>
          <w:rFonts w:eastAsia="Calibri" w:cs="Calibri" w:ascii="Calibri" w:hAnsi="Calibri"/>
          <w:color w:val="0000FF"/>
        </w:rPr>
        <w:t xml:space="preserve"> </w:t>
      </w:r>
    </w:p>
    <w:p>
      <w:pPr>
        <w:pStyle w:val="Normal"/>
        <w:rPr/>
      </w:pPr>
      <w:r>
        <w:rPr/>
        <w:drawing>
          <wp:inline distT="0" distB="0" distL="0" distR="0">
            <wp:extent cx="5731510" cy="4267200"/>
            <wp:effectExtent l="0" t="0" r="0" b="0"/>
            <wp:docPr id="3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png" descr=""/>
                    <pic:cNvPicPr>
                      <a:picLocks noChangeAspect="1" noChangeArrowheads="1"/>
                    </pic:cNvPicPr>
                  </pic:nvPicPr>
                  <pic:blipFill>
                    <a:blip r:embed="rId35"/>
                    <a:stretch>
                      <a:fillRect/>
                    </a:stretch>
                  </pic:blipFill>
                  <pic:spPr bwMode="auto">
                    <a:xfrm>
                      <a:off x="0" y="0"/>
                      <a:ext cx="5731510" cy="4267200"/>
                    </a:xfrm>
                    <a:prstGeom prst="rect">
                      <a:avLst/>
                    </a:prstGeom>
                  </pic:spPr>
                </pic:pic>
              </a:graphicData>
            </a:graphic>
          </wp:inline>
        </w:drawing>
      </w:r>
    </w:p>
    <w:p>
      <w:pPr>
        <w:pStyle w:val="Normal"/>
        <w:rPr/>
      </w:pPr>
      <w:r>
        <w:rPr>
          <w:sz w:val="18"/>
          <w:szCs w:val="18"/>
        </w:rPr>
        <w:t xml:space="preserve">Figure </w:t>
      </w:r>
      <w:r>
        <w:rPr>
          <w:sz w:val="18"/>
          <w:szCs w:val="18"/>
        </w:rPr>
        <w:fldChar w:fldCharType="begin"/>
      </w:r>
      <w:r>
        <w:rPr>
          <w:sz w:val="18"/>
          <w:szCs w:val="18"/>
        </w:rPr>
        <w:instrText> SEQ Figure \* ARABIC </w:instrText>
      </w:r>
      <w:r>
        <w:rPr>
          <w:sz w:val="18"/>
          <w:szCs w:val="18"/>
        </w:rPr>
        <w:fldChar w:fldCharType="separate"/>
      </w:r>
      <w:r>
        <w:rPr>
          <w:sz w:val="18"/>
          <w:szCs w:val="18"/>
        </w:rPr>
        <w:t>21</w:t>
      </w:r>
      <w:r>
        <w:rPr>
          <w:sz w:val="18"/>
          <w:szCs w:val="18"/>
        </w:rPr>
        <w:fldChar w:fldCharType="end"/>
      </w:r>
      <w:r>
        <w:rPr>
          <w:sz w:val="18"/>
          <w:szCs w:val="18"/>
        </w:rPr>
        <w:t xml:space="preserve">: Débit  à La Réole pour R03 et fonction des paramètres B et F de la bathymétrie. </w:t>
      </w:r>
    </w:p>
    <w:p>
      <w:pPr>
        <w:pStyle w:val="Normal"/>
        <w:rPr>
          <w:sz w:val="18"/>
          <w:szCs w:val="18"/>
        </w:rPr>
      </w:pPr>
      <w:r>
        <w:rPr>
          <w:sz w:val="18"/>
          <w:szCs w:val="18"/>
        </w:rPr>
      </w:r>
    </w:p>
    <w:p>
      <w:pPr>
        <w:pStyle w:val="Normal"/>
        <w:rPr>
          <w:sz w:val="18"/>
          <w:szCs w:val="18"/>
        </w:rPr>
      </w:pPr>
      <w:r>
        <w:rPr>
          <w:sz w:val="18"/>
          <w:szCs w:val="18"/>
        </w:rPr>
      </w:r>
    </w:p>
    <w:p>
      <w:pPr>
        <w:pStyle w:val="Normal"/>
        <w:jc w:val="both"/>
        <w:rPr>
          <w:rFonts w:ascii="Calibri" w:hAnsi="Calibri" w:eastAsia="Calibri" w:cs="Calibri"/>
        </w:rPr>
      </w:pPr>
      <w:bookmarkStart w:id="32" w:name="_tyjcwt"/>
      <w:bookmarkEnd w:id="32"/>
      <w:r>
        <w:rPr>
          <w:rFonts w:eastAsia="Calibri" w:cs="Calibri" w:ascii="Calibri" w:hAnsi="Calibri"/>
        </w:rPr>
        <w:t xml:space="preserve">   </w:t>
      </w:r>
      <w:r>
        <w:rPr>
          <w:rFonts w:eastAsia="Calibri" w:cs="Calibri" w:ascii="Calibri" w:hAnsi="Calibri"/>
        </w:rPr>
        <w:t xml:space="preserve">Une autre approche dans le réglage du débit serait d’ajuster la rugosité sur plusieurs sections au lieu de l’augmenter indéfiniment à la section 14.   Les courbes pour  R02_ B00_F00 et R04_B00_F00 de la </w:t>
      </w:r>
      <w:r>
        <w:rPr>
          <w:rFonts w:eastAsia="Calibri" w:cs="Calibri" w:ascii="Calibri" w:hAnsi="Calibri"/>
        </w:rPr>
        <w:fldChar w:fldCharType="begin"/>
      </w:r>
      <w:r>
        <w:rPr>
          <w:rFonts w:eastAsia="Calibri" w:cs="Calibri" w:ascii="Calibri" w:hAnsi="Calibri"/>
        </w:rPr>
        <w:instrText> REF Ref_Figure6_label_and_number \h </w:instrText>
      </w:r>
      <w:r>
        <w:rPr>
          <w:rFonts w:eastAsia="Calibri" w:cs="Calibri" w:ascii="Calibri" w:hAnsi="Calibri"/>
        </w:rPr>
        <w:fldChar w:fldCharType="separate"/>
      </w:r>
      <w:r>
        <w:rPr>
          <w:rFonts w:eastAsia="Calibri" w:cs="Calibri" w:ascii="Calibri" w:hAnsi="Calibri"/>
        </w:rPr>
        <w:t>Figure 8</w:t>
      </w:r>
      <w:r>
        <w:rPr>
          <w:rFonts w:eastAsia="Calibri" w:cs="Calibri" w:ascii="Calibri" w:hAnsi="Calibri"/>
        </w:rPr>
        <w:fldChar w:fldCharType="end"/>
      </w:r>
      <w:r>
        <w:rPr>
          <w:rFonts w:eastAsia="Calibri" w:cs="Calibri" w:ascii="Calibri" w:hAnsi="Calibri"/>
        </w:rPr>
        <w:t xml:space="preserve"> indiquent que des ajustement supplémentaire de rugosité jusqu’à 5e-3 à Cadillac et Langon sont insuffisant.  Bien que les effets de B et F soient moins importante que R, il s’est avéré nécessaire pour les nouvelles expériences de régler la triplette de paramètres.  En fixant B à -3m c’est à dire à la valeur de B01 et en gardant F00 nous parvenons à calibrer le débit simulé en ajustant la rugosité des sections de 10 à 14 donc quasiment sur toute la branche de la Garonne allant de Bordeaux à Laréole.  Ces réglages correspondent aux courbes R09_B01_F00 à R12_B01_F00 de la </w:t>
      </w:r>
      <w:r>
        <w:rPr>
          <w:rFonts w:eastAsia="Calibri" w:cs="Calibri" w:ascii="Calibri" w:hAnsi="Calibri"/>
        </w:rPr>
        <w:fldChar w:fldCharType="begin"/>
      </w:r>
      <w:r>
        <w:rPr>
          <w:rFonts w:eastAsia="Calibri" w:cs="Calibri" w:ascii="Calibri" w:hAnsi="Calibri"/>
        </w:rPr>
        <w:instrText> REF Ref_Figure9_label_and_number \h </w:instrText>
      </w:r>
      <w:r>
        <w:rPr>
          <w:rFonts w:eastAsia="Calibri" w:cs="Calibri" w:ascii="Calibri" w:hAnsi="Calibri"/>
        </w:rPr>
        <w:fldChar w:fldCharType="separate"/>
      </w:r>
      <w:r>
        <w:rPr>
          <w:rFonts w:eastAsia="Calibri" w:cs="Calibri" w:ascii="Calibri" w:hAnsi="Calibri"/>
        </w:rPr>
        <w:t>Figure 11</w:t>
      </w:r>
      <w:r>
        <w:rPr>
          <w:rFonts w:eastAsia="Calibri" w:cs="Calibri" w:ascii="Calibri" w:hAnsi="Calibri"/>
        </w:rPr>
        <w:fldChar w:fldCharType="end"/>
      </w:r>
      <w:r>
        <w:rPr>
          <w:rFonts w:eastAsia="Calibri" w:cs="Calibri" w:ascii="Calibri" w:hAnsi="Calibri"/>
        </w:rPr>
        <w:t xml:space="preserve">.  </w:t>
      </w:r>
    </w:p>
    <w:p>
      <w:pPr>
        <w:pStyle w:val="Normal"/>
        <w:jc w:val="both"/>
        <w:rPr>
          <w:rFonts w:ascii="Calibri" w:hAnsi="Calibri" w:eastAsia="Calibri" w:cs="Calibri"/>
        </w:rPr>
      </w:pPr>
      <w:r>
        <w:rPr>
          <w:rFonts w:eastAsia="Calibri" w:cs="Calibri" w:ascii="Calibri" w:hAnsi="Calibri"/>
        </w:rPr>
      </w:r>
      <w:bookmarkStart w:id="33" w:name="_3dy6vkm"/>
      <w:bookmarkStart w:id="34" w:name="_3dy6vkm"/>
      <w:bookmarkEnd w:id="34"/>
    </w:p>
    <w:p>
      <w:pPr>
        <w:pStyle w:val="Normal"/>
        <w:jc w:val="both"/>
        <w:rPr/>
      </w:pPr>
      <w:bookmarkStart w:id="35" w:name="_1t3h5sf"/>
      <w:bookmarkEnd w:id="35"/>
      <w:r>
        <w:rPr>
          <w:rFonts w:eastAsia="Calibri" w:cs="Calibri" w:ascii="Calibri" w:hAnsi="Calibri"/>
        </w:rPr>
        <w:t xml:space="preserve">    </w:t>
      </w:r>
      <w:r>
        <w:rPr>
          <w:rFonts w:eastAsia="Calibri" w:cs="Calibri" w:ascii="Calibri" w:hAnsi="Calibri"/>
        </w:rPr>
        <w:t xml:space="preserve">Au final les ajustements ayant conduit à une calibration parfaite du débit à La réole sont R03_B00_F00 et l’ensemble des expériences de R09_B01_F00 à R12_B01_F00. Toutefois, cette calibration n’est encore qu’une étape car il reste à la valider en analysant la réponse du fleuve aux stations en amont de La réole.  </w:t>
      </w:r>
    </w:p>
    <w:p>
      <w:pPr>
        <w:pStyle w:val="Normal"/>
        <w:jc w:val="both"/>
        <w:rPr>
          <w:rFonts w:ascii="Calibri" w:hAnsi="Calibri" w:eastAsia="Calibri" w:cs="Calibri"/>
          <w:color w:val="0000FF"/>
        </w:rPr>
      </w:pPr>
      <w:r>
        <w:rPr>
          <w:rFonts w:eastAsia="Calibri" w:cs="Calibri" w:ascii="Calibri" w:hAnsi="Calibri"/>
          <w:color w:val="0000FF"/>
        </w:rPr>
      </w:r>
      <w:bookmarkStart w:id="36" w:name="_4d34og8"/>
      <w:bookmarkStart w:id="37" w:name="_4d34og8"/>
      <w:bookmarkEnd w:id="37"/>
    </w:p>
    <w:p>
      <w:pPr>
        <w:pStyle w:val="Normal"/>
        <w:rPr/>
      </w:pPr>
      <w:r>
        <w:rPr/>
      </w:r>
    </w:p>
    <w:p>
      <w:pPr>
        <w:pStyle w:val="Normal"/>
        <w:rPr>
          <w:sz w:val="18"/>
          <w:szCs w:val="18"/>
        </w:rPr>
      </w:pPr>
      <w:r>
        <w:rPr>
          <w:sz w:val="18"/>
          <w:szCs w:val="18"/>
        </w:rPr>
      </w:r>
    </w:p>
    <w:p>
      <w:pPr>
        <w:pStyle w:val="Normal"/>
        <w:rPr>
          <w:sz w:val="18"/>
          <w:szCs w:val="18"/>
        </w:rPr>
      </w:pPr>
      <w:r>
        <w:rPr>
          <w:sz w:val="18"/>
          <w:szCs w:val="18"/>
        </w:rPr>
      </w:r>
    </w:p>
    <w:p>
      <w:pPr>
        <w:pStyle w:val="Normal"/>
        <w:rPr>
          <w:sz w:val="18"/>
          <w:szCs w:val="18"/>
        </w:rPr>
      </w:pPr>
      <w:r>
        <w:rPr>
          <w:sz w:val="18"/>
          <w:szCs w:val="18"/>
        </w:rPr>
      </w:r>
    </w:p>
    <w:p>
      <w:pPr>
        <w:pStyle w:val="Normal"/>
        <w:rPr/>
      </w:pPr>
      <w:r>
        <w:rPr/>
        <w:drawing>
          <wp:inline distT="0" distB="0" distL="0" distR="0">
            <wp:extent cx="5731510" cy="4267200"/>
            <wp:effectExtent l="0" t="0" r="0" b="0"/>
            <wp:docPr id="32"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png" descr=""/>
                    <pic:cNvPicPr>
                      <a:picLocks noChangeAspect="1" noChangeArrowheads="1"/>
                    </pic:cNvPicPr>
                  </pic:nvPicPr>
                  <pic:blipFill>
                    <a:blip r:embed="rId36"/>
                    <a:stretch>
                      <a:fillRect/>
                    </a:stretch>
                  </pic:blipFill>
                  <pic:spPr bwMode="auto">
                    <a:xfrm>
                      <a:off x="0" y="0"/>
                      <a:ext cx="5731510" cy="4267200"/>
                    </a:xfrm>
                    <a:prstGeom prst="rect">
                      <a:avLst/>
                    </a:prstGeom>
                  </pic:spPr>
                </pic:pic>
              </a:graphicData>
            </a:graphic>
          </wp:inline>
        </w:drawing>
      </w:r>
    </w:p>
    <w:p>
      <w:pPr>
        <w:pStyle w:val="Normal"/>
        <w:rPr/>
      </w:pPr>
      <w:r>
        <w:rPr>
          <w:sz w:val="18"/>
          <w:szCs w:val="18"/>
        </w:rPr>
        <w:t xml:space="preserve">Figure </w:t>
      </w:r>
      <w:r>
        <w:rPr>
          <w:sz w:val="18"/>
          <w:szCs w:val="18"/>
        </w:rPr>
        <w:fldChar w:fldCharType="begin"/>
      </w:r>
      <w:r>
        <w:rPr>
          <w:sz w:val="18"/>
          <w:szCs w:val="18"/>
        </w:rPr>
        <w:instrText> SEQ Figure \* ARABIC </w:instrText>
      </w:r>
      <w:r>
        <w:rPr>
          <w:sz w:val="18"/>
          <w:szCs w:val="18"/>
        </w:rPr>
        <w:fldChar w:fldCharType="separate"/>
      </w:r>
      <w:r>
        <w:rPr>
          <w:sz w:val="18"/>
          <w:szCs w:val="18"/>
        </w:rPr>
        <w:t>22</w:t>
      </w:r>
      <w:r>
        <w:rPr>
          <w:sz w:val="18"/>
          <w:szCs w:val="18"/>
        </w:rPr>
        <w:fldChar w:fldCharType="end"/>
      </w:r>
      <w:r>
        <w:rPr>
          <w:sz w:val="18"/>
          <w:szCs w:val="18"/>
        </w:rPr>
        <w:t>: Débit  à La Réole pour R03 et fonction des paramètres B et F de la bathymétrie</w:t>
      </w:r>
    </w:p>
    <w:p>
      <w:pPr>
        <w:pStyle w:val="Normal"/>
        <w:jc w:val="both"/>
        <w:rPr>
          <w:rFonts w:ascii="Calibri" w:hAnsi="Calibri" w:eastAsia="Calibri" w:cs="Calibri"/>
          <w:color w:val="0000FF"/>
        </w:rPr>
      </w:pPr>
      <w:bookmarkStart w:id="38" w:name="_2s8eyo1"/>
      <w:bookmarkEnd w:id="38"/>
      <w:r>
        <w:rPr>
          <w:rFonts w:eastAsia="Calibri" w:cs="Calibri" w:ascii="Calibri" w:hAnsi="Calibri"/>
          <w:color w:val="0000FF"/>
        </w:rPr>
        <w:t xml:space="preserve"> </w:t>
      </w:r>
    </w:p>
    <w:p>
      <w:pPr>
        <w:pStyle w:val="Normal"/>
        <w:jc w:val="both"/>
        <w:rPr>
          <w:rFonts w:ascii="Calibri" w:hAnsi="Calibri" w:eastAsia="Calibri" w:cs="Calibri"/>
          <w:color w:val="0000FF"/>
        </w:rPr>
      </w:pPr>
      <w:r>
        <w:rPr>
          <w:rFonts w:eastAsia="Calibri" w:cs="Calibri" w:ascii="Calibri" w:hAnsi="Calibri"/>
          <w:color w:val="0000FF"/>
        </w:rPr>
      </w:r>
      <w:bookmarkStart w:id="39" w:name="_17dp8vu"/>
      <w:bookmarkStart w:id="40" w:name="_17dp8vu"/>
      <w:bookmarkEnd w:id="40"/>
    </w:p>
    <w:p>
      <w:pPr>
        <w:pStyle w:val="Heading3"/>
        <w:numPr>
          <w:ilvl w:val="2"/>
          <w:numId w:val="2"/>
        </w:numPr>
        <w:rPr/>
      </w:pPr>
      <w:r>
        <w:rPr/>
        <w:t xml:space="preserve">Validation du débit à La Réole: réponse à Bordeaux Cadillac et Langon. </w:t>
      </w:r>
    </w:p>
    <w:p>
      <w:pPr>
        <w:pStyle w:val="Normal"/>
        <w:jc w:val="both"/>
        <w:rPr>
          <w:rFonts w:ascii="Calibri" w:hAnsi="Calibri" w:eastAsia="Calibri" w:cs="Calibri"/>
          <w:color w:val="0000FF"/>
        </w:rPr>
      </w:pPr>
      <w:r>
        <w:rPr>
          <w:rFonts w:eastAsia="Calibri" w:cs="Calibri" w:ascii="Calibri" w:hAnsi="Calibri"/>
          <w:color w:val="0000FF"/>
        </w:rPr>
      </w:r>
      <w:bookmarkStart w:id="41" w:name="_3rdcrjn"/>
      <w:bookmarkStart w:id="42" w:name="_3rdcrjn"/>
      <w:bookmarkEnd w:id="42"/>
    </w:p>
    <w:p>
      <w:pPr>
        <w:pStyle w:val="Normal"/>
        <w:jc w:val="both"/>
        <w:rPr/>
      </w:pPr>
      <w:bookmarkStart w:id="43" w:name="_26in1rg"/>
      <w:bookmarkEnd w:id="43"/>
      <w:r>
        <w:rPr>
          <w:rFonts w:eastAsia="Calibri" w:cs="Calibri" w:ascii="Calibri" w:hAnsi="Calibri"/>
        </w:rPr>
        <w:t xml:space="preserve">     </w:t>
      </w:r>
      <w:r>
        <w:rPr>
          <w:rFonts w:eastAsia="Calibri" w:cs="Calibri" w:ascii="Calibri" w:hAnsi="Calibri"/>
        </w:rPr>
        <w:t xml:space="preserve">Dans cette section nous validons davantage le modèle en nous intéressant à la hauteur de l’eau aux stations de Bordeaux, Cadillac et Langon.  Nous avons en premier comparé les élévations observées à  R00_B00_F00 et R03_B00_F00.  </w:t>
      </w:r>
    </w:p>
    <w:p>
      <w:pPr>
        <w:pStyle w:val="Normal"/>
        <w:jc w:val="both"/>
        <w:rPr>
          <w:rFonts w:ascii="Calibri" w:hAnsi="Calibri" w:eastAsia="Calibri" w:cs="Calibri"/>
        </w:rPr>
      </w:pPr>
      <w:r>
        <w:rPr>
          <w:rFonts w:eastAsia="Calibri" w:cs="Calibri" w:ascii="Calibri" w:hAnsi="Calibri"/>
        </w:rPr>
      </w:r>
      <w:bookmarkStart w:id="44" w:name="_c7qt3vyvlyfg"/>
      <w:bookmarkStart w:id="45" w:name="_c7qt3vyvlyfg"/>
      <w:bookmarkEnd w:id="45"/>
    </w:p>
    <w:p>
      <w:pPr>
        <w:pStyle w:val="Normal"/>
        <w:jc w:val="both"/>
        <w:rPr/>
      </w:pPr>
      <w:bookmarkStart w:id="46" w:name="_i99rltave9td"/>
      <w:bookmarkEnd w:id="46"/>
      <w:r>
        <w:rPr>
          <w:rFonts w:eastAsia="Calibri" w:cs="Calibri" w:ascii="Calibri" w:hAnsi="Calibri"/>
        </w:rPr>
        <w:t xml:space="preserve">   </w:t>
      </w:r>
      <w:r>
        <w:rPr>
          <w:rFonts w:eastAsia="Calibri" w:cs="Calibri" w:ascii="Calibri" w:hAnsi="Calibri"/>
        </w:rPr>
        <w:t>Le modèle reproduit aussi bien le cycle de marée, les variations d’élévation et son intensité à Bordeaux dans les conditions R00_B00_F00 (</w:t>
      </w:r>
      <w:r>
        <w:rPr>
          <w:rFonts w:eastAsia="Calibri" w:cs="Calibri" w:ascii="Calibri" w:hAnsi="Calibri"/>
        </w:rPr>
        <w:fldChar w:fldCharType="begin"/>
      </w:r>
      <w:r>
        <w:rPr>
          <w:rFonts w:eastAsia="Calibri" w:cs="Calibri" w:ascii="Calibri" w:hAnsi="Calibri"/>
        </w:rPr>
        <w:instrText> REF Ref_Figure17_label_and_number \h </w:instrText>
      </w:r>
      <w:r>
        <w:rPr>
          <w:rFonts w:eastAsia="Calibri" w:cs="Calibri" w:ascii="Calibri" w:hAnsi="Calibri"/>
        </w:rPr>
        <w:fldChar w:fldCharType="separate"/>
      </w:r>
      <w:r>
        <w:rPr>
          <w:rFonts w:eastAsia="Calibri" w:cs="Calibri" w:ascii="Calibri" w:hAnsi="Calibri"/>
        </w:rPr>
        <w:t>Figure 23</w:t>
      </w:r>
      <w:r>
        <w:rPr>
          <w:rFonts w:eastAsia="Calibri" w:cs="Calibri" w:ascii="Calibri" w:hAnsi="Calibri"/>
        </w:rPr>
        <w:fldChar w:fldCharType="end"/>
      </w:r>
      <w:r>
        <w:rPr>
          <w:rFonts w:eastAsia="Calibri" w:cs="Calibri" w:ascii="Calibri" w:hAnsi="Calibri"/>
        </w:rPr>
        <w:t xml:space="preserve">). Toutefois, le modèle est légèrement décalé vers le bas mais de moins de 0.4 m. R00_B00_F00 présente aussi de bonnes performances en élévation à Cadillac. Comme à Bordeaux le modèle reproduit bien le cycle de marée et les élévations avec un léger décalé de moins de 0.4 m vers le haut en marée haute et vers le bas en marée basse. La qualité de simulation dans les conditions réalistes se dégrade à Langon.  L’amplitude la marée y est très forte. </w:t>
      </w:r>
    </w:p>
    <w:p>
      <w:pPr>
        <w:pStyle w:val="Normal"/>
        <w:jc w:val="both"/>
        <w:rPr/>
      </w:pPr>
      <w:bookmarkStart w:id="47" w:name="_je0ier6sphlw"/>
      <w:bookmarkEnd w:id="47"/>
      <w:r>
        <w:rPr>
          <w:rFonts w:eastAsia="Calibri" w:cs="Calibri" w:ascii="Calibri" w:hAnsi="Calibri"/>
          <w:color w:val="0000FF"/>
        </w:rPr>
        <w:t xml:space="preserve"> </w:t>
      </w:r>
      <w:r>
        <w:rPr/>
        <w:drawing>
          <wp:inline distT="0" distB="0" distL="0" distR="0">
            <wp:extent cx="5731510" cy="7543800"/>
            <wp:effectExtent l="0" t="0" r="0" b="0"/>
            <wp:docPr id="33" name="image1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6.png" descr=""/>
                    <pic:cNvPicPr>
                      <a:picLocks noChangeAspect="1" noChangeArrowheads="1"/>
                    </pic:cNvPicPr>
                  </pic:nvPicPr>
                  <pic:blipFill>
                    <a:blip r:embed="rId37"/>
                    <a:srcRect l="20" t="0" r="20" b="0"/>
                    <a:stretch>
                      <a:fillRect/>
                    </a:stretch>
                  </pic:blipFill>
                  <pic:spPr bwMode="auto">
                    <a:xfrm>
                      <a:off x="0" y="0"/>
                      <a:ext cx="5731510" cy="7543800"/>
                    </a:xfrm>
                    <a:prstGeom prst="rect">
                      <a:avLst/>
                    </a:prstGeom>
                  </pic:spPr>
                </pic:pic>
              </a:graphicData>
            </a:graphic>
          </wp:inline>
        </w:drawing>
      </w:r>
    </w:p>
    <w:p>
      <w:pPr>
        <w:pStyle w:val="Normal"/>
        <w:rPr/>
      </w:pPr>
      <w:bookmarkStart w:id="48" w:name="Ref_Figure17_label_and_number"/>
      <w:r>
        <w:rPr>
          <w:sz w:val="18"/>
          <w:szCs w:val="18"/>
        </w:rPr>
        <w:t xml:space="preserve">Figure </w:t>
      </w:r>
      <w:r>
        <w:rPr>
          <w:sz w:val="18"/>
          <w:szCs w:val="18"/>
        </w:rPr>
        <w:fldChar w:fldCharType="begin"/>
      </w:r>
      <w:r>
        <w:rPr>
          <w:sz w:val="18"/>
          <w:szCs w:val="18"/>
        </w:rPr>
        <w:instrText> SEQ Figure \* ARABIC </w:instrText>
      </w:r>
      <w:r>
        <w:rPr>
          <w:sz w:val="18"/>
          <w:szCs w:val="18"/>
        </w:rPr>
        <w:fldChar w:fldCharType="separate"/>
      </w:r>
      <w:r>
        <w:rPr>
          <w:sz w:val="18"/>
          <w:szCs w:val="18"/>
        </w:rPr>
        <w:t>23</w:t>
      </w:r>
      <w:r>
        <w:rPr>
          <w:sz w:val="18"/>
          <w:szCs w:val="18"/>
        </w:rPr>
        <w:fldChar w:fldCharType="end"/>
      </w:r>
      <w:bookmarkEnd w:id="48"/>
      <w:r>
        <w:rPr>
          <w:sz w:val="18"/>
          <w:szCs w:val="18"/>
        </w:rPr>
        <w:t>: Comparaison entre élévations observée (en noir) et simulées  à Bordeaux, Cadillac et Langon: R00_B00_F00 (en bleu), R09_B01_F00 (en ..) et R03_B00_F00 (en vert).</w:t>
      </w:r>
    </w:p>
    <w:p>
      <w:pPr>
        <w:pStyle w:val="Normal"/>
        <w:jc w:val="both"/>
        <w:rPr/>
      </w:pPr>
      <w:r>
        <w:rPr/>
      </w:r>
      <w:bookmarkStart w:id="49" w:name="_z083f4vx1n5d"/>
      <w:bookmarkStart w:id="50" w:name="_z083f4vx1n5d"/>
      <w:bookmarkEnd w:id="50"/>
    </w:p>
    <w:p>
      <w:pPr>
        <w:pStyle w:val="Normal"/>
        <w:jc w:val="both"/>
        <w:rPr/>
      </w:pPr>
      <w:bookmarkStart w:id="51" w:name="_iity6hh1h6qy"/>
      <w:bookmarkEnd w:id="51"/>
      <w:r>
        <w:rPr>
          <w:rFonts w:eastAsia="Calibri" w:cs="Calibri" w:ascii="Calibri" w:hAnsi="Calibri"/>
        </w:rPr>
        <w:t xml:space="preserve">    </w:t>
      </w:r>
      <w:r>
        <w:rPr>
          <w:rFonts w:eastAsia="Calibri" w:cs="Calibri" w:ascii="Calibri" w:hAnsi="Calibri"/>
        </w:rPr>
        <w:t>La rugosité a été grandement augmenté à la section 14 entre Castet et La Réole pour l’expérience R03_B00_F00 d’ajustement de débit à La réole. Dans cette configuration le modèle a des performances identiques à R00_B00_F00 à Bordeaux. Le changement de rugosité a par contre dégradé la simulation de la hauteur d’eau à Cadillac, la marée est y surestimée tandis que la hauteur d’eau  lors de la pointe de la crue est sous estimée.  L’expérience R03_B00_F00 (</w:t>
      </w:r>
      <w:r>
        <w:rPr>
          <w:rFonts w:eastAsia="Calibri" w:cs="Calibri" w:ascii="Calibri" w:hAnsi="Calibri"/>
        </w:rPr>
        <w:fldChar w:fldCharType="begin"/>
      </w:r>
      <w:r>
        <w:rPr>
          <w:rFonts w:eastAsia="Calibri" w:cs="Calibri" w:ascii="Calibri" w:hAnsi="Calibri"/>
        </w:rPr>
        <w:instrText> REF Ref_Figure17_label_and_number \h </w:instrText>
      </w:r>
      <w:r>
        <w:rPr>
          <w:rFonts w:eastAsia="Calibri" w:cs="Calibri" w:ascii="Calibri" w:hAnsi="Calibri"/>
        </w:rPr>
        <w:fldChar w:fldCharType="separate"/>
      </w:r>
      <w:r>
        <w:rPr>
          <w:rFonts w:eastAsia="Calibri" w:cs="Calibri" w:ascii="Calibri" w:hAnsi="Calibri"/>
        </w:rPr>
        <w:t>Figure 23</w:t>
      </w:r>
      <w:r>
        <w:rPr>
          <w:rFonts w:eastAsia="Calibri" w:cs="Calibri" w:ascii="Calibri" w:hAnsi="Calibri"/>
        </w:rPr>
        <w:fldChar w:fldCharType="end"/>
      </w:r>
      <w:r>
        <w:rPr>
          <w:rFonts w:eastAsia="Calibri" w:cs="Calibri" w:ascii="Calibri" w:hAnsi="Calibri"/>
        </w:rPr>
        <w:t xml:space="preserve">) n’améliore pas la simulation à Langon. Dans l’ensemble cette configuration a moins d’effet positif qu'espéré.    </w:t>
      </w:r>
    </w:p>
    <w:p>
      <w:pPr>
        <w:pStyle w:val="Normal"/>
        <w:jc w:val="both"/>
        <w:rPr>
          <w:rFonts w:ascii="Calibri" w:hAnsi="Calibri" w:eastAsia="Calibri" w:cs="Calibri"/>
        </w:rPr>
      </w:pPr>
      <w:r>
        <w:rPr>
          <w:rFonts w:eastAsia="Calibri" w:cs="Calibri" w:ascii="Calibri" w:hAnsi="Calibri"/>
        </w:rPr>
      </w:r>
      <w:bookmarkStart w:id="52" w:name="_46dcvaczm8de"/>
      <w:bookmarkStart w:id="53" w:name="_46dcvaczm8de"/>
      <w:bookmarkEnd w:id="53"/>
    </w:p>
    <w:p>
      <w:pPr>
        <w:pStyle w:val="Normal"/>
        <w:jc w:val="both"/>
        <w:rPr>
          <w:rFonts w:ascii="Calibri" w:hAnsi="Calibri" w:eastAsia="Calibri" w:cs="Calibri"/>
        </w:rPr>
      </w:pPr>
      <w:r>
        <w:rPr>
          <w:rFonts w:eastAsia="Calibri" w:cs="Calibri" w:ascii="Calibri" w:hAnsi="Calibri"/>
        </w:rPr>
      </w:r>
      <w:bookmarkStart w:id="54" w:name="_lnxbz9"/>
      <w:bookmarkStart w:id="55" w:name="_lnxbz9"/>
      <w:bookmarkEnd w:id="55"/>
    </w:p>
    <w:p>
      <w:pPr>
        <w:pStyle w:val="Normal"/>
        <w:jc w:val="both"/>
        <w:rPr/>
      </w:pPr>
      <w:bookmarkStart w:id="56" w:name="_35nkun2"/>
      <w:bookmarkEnd w:id="56"/>
      <w:r>
        <w:rPr>
          <w:rFonts w:eastAsia="Calibri" w:cs="Calibri" w:ascii="Calibri" w:hAnsi="Calibri"/>
        </w:rPr>
        <w:t xml:space="preserve">   </w:t>
      </w:r>
      <w:r>
        <w:rPr>
          <w:rFonts w:eastAsia="Calibri" w:cs="Calibri" w:ascii="Calibri" w:hAnsi="Calibri"/>
        </w:rPr>
        <w:t>Au vu des résultats de R09_B01_F00, les expériences R10_B01_F00, R11_B01_F00, R12_B01_F00 ont été mené.  Ces dernières ont la même base que R09_B01_F00 et se différencient par la valeur de la rugosité à la section 12 entre Cadillac et Langon.  La qualité des représentations de l’élévation est préservée à Bordeaux avec cette série d’expériences (</w:t>
      </w:r>
      <w:r>
        <w:rPr>
          <w:rFonts w:eastAsia="Calibri" w:cs="Calibri" w:ascii="Calibri" w:hAnsi="Calibri"/>
        </w:rPr>
        <w:fldChar w:fldCharType="begin"/>
      </w:r>
      <w:r>
        <w:rPr>
          <w:rFonts w:eastAsia="Calibri" w:cs="Calibri" w:ascii="Calibri" w:hAnsi="Calibri"/>
        </w:rPr>
        <w:instrText> REF Ref_Figure18_label_and_number \h </w:instrText>
      </w:r>
      <w:r>
        <w:rPr>
          <w:rFonts w:eastAsia="Calibri" w:cs="Calibri" w:ascii="Calibri" w:hAnsi="Calibri"/>
        </w:rPr>
        <w:fldChar w:fldCharType="separate"/>
      </w:r>
      <w:r>
        <w:rPr>
          <w:rFonts w:eastAsia="Calibri" w:cs="Calibri" w:ascii="Calibri" w:hAnsi="Calibri"/>
        </w:rPr>
        <w:t>Figure 24</w:t>
      </w:r>
      <w:r>
        <w:rPr>
          <w:rFonts w:eastAsia="Calibri" w:cs="Calibri" w:ascii="Calibri" w:hAnsi="Calibri"/>
        </w:rPr>
        <w:fldChar w:fldCharType="end"/>
      </w:r>
      <w:r>
        <w:rPr>
          <w:rFonts w:eastAsia="Calibri" w:cs="Calibri" w:ascii="Calibri" w:hAnsi="Calibri"/>
        </w:rPr>
        <w:t xml:space="preserve">).  Les changements de rugosité améliorent les simulations d’élévations au niveau de Cadillac .  Les meilleurs élévations sont obtenues dans les conditions R10, R11 et voir R12. Les niveaux d’eaux à Langon pour R10 et R11 sont bien meilleur que dans les autres situations. Cependant, le niveau moyen et la marée restent encore légèrement plus fort que les observations. </w:t>
      </w:r>
    </w:p>
    <w:p>
      <w:pPr>
        <w:pStyle w:val="Normal"/>
        <w:jc w:val="both"/>
        <w:rPr>
          <w:rFonts w:ascii="Calibri" w:hAnsi="Calibri" w:eastAsia="Calibri" w:cs="Calibri"/>
          <w:color w:val="0000FF"/>
        </w:rPr>
      </w:pPr>
      <w:r>
        <w:rPr>
          <w:rFonts w:eastAsia="Calibri" w:cs="Calibri" w:ascii="Calibri" w:hAnsi="Calibri"/>
          <w:color w:val="0000FF"/>
        </w:rPr>
      </w:r>
      <w:bookmarkStart w:id="57" w:name="_1ksv4uv"/>
      <w:bookmarkStart w:id="58" w:name="_1ksv4uv"/>
      <w:bookmarkEnd w:id="58"/>
    </w:p>
    <w:p>
      <w:pPr>
        <w:pStyle w:val="Normal"/>
        <w:rPr/>
      </w:pPr>
      <w:r>
        <w:rPr/>
        <w:drawing>
          <wp:inline distT="0" distB="0" distL="0" distR="0">
            <wp:extent cx="5286375" cy="4909820"/>
            <wp:effectExtent l="0" t="0" r="0" b="0"/>
            <wp:docPr id="34" name="image1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png" descr=""/>
                    <pic:cNvPicPr>
                      <a:picLocks noChangeAspect="1" noChangeArrowheads="1"/>
                    </pic:cNvPicPr>
                  </pic:nvPicPr>
                  <pic:blipFill>
                    <a:blip r:embed="rId38"/>
                    <a:stretch>
                      <a:fillRect/>
                    </a:stretch>
                  </pic:blipFill>
                  <pic:spPr bwMode="auto">
                    <a:xfrm>
                      <a:off x="0" y="0"/>
                      <a:ext cx="5286375" cy="4909820"/>
                    </a:xfrm>
                    <a:prstGeom prst="rect">
                      <a:avLst/>
                    </a:prstGeom>
                  </pic:spPr>
                </pic:pic>
              </a:graphicData>
            </a:graphic>
          </wp:inline>
        </w:drawing>
      </w:r>
    </w:p>
    <w:p>
      <w:pPr>
        <w:pStyle w:val="Normal"/>
        <w:rPr/>
      </w:pPr>
      <w:bookmarkStart w:id="59" w:name="Ref_Figure18_label_and_number"/>
      <w:r>
        <w:rPr>
          <w:sz w:val="18"/>
          <w:szCs w:val="18"/>
        </w:rPr>
        <w:t xml:space="preserve">Figure </w:t>
      </w:r>
      <w:r>
        <w:rPr>
          <w:sz w:val="18"/>
          <w:szCs w:val="18"/>
        </w:rPr>
        <w:fldChar w:fldCharType="begin"/>
      </w:r>
      <w:r>
        <w:rPr>
          <w:sz w:val="18"/>
          <w:szCs w:val="18"/>
        </w:rPr>
        <w:instrText> SEQ Figure \* ARABIC </w:instrText>
      </w:r>
      <w:r>
        <w:rPr>
          <w:sz w:val="18"/>
          <w:szCs w:val="18"/>
        </w:rPr>
        <w:fldChar w:fldCharType="separate"/>
      </w:r>
      <w:r>
        <w:rPr>
          <w:sz w:val="18"/>
          <w:szCs w:val="18"/>
        </w:rPr>
        <w:t>24</w:t>
      </w:r>
      <w:r>
        <w:rPr>
          <w:sz w:val="18"/>
          <w:szCs w:val="18"/>
        </w:rPr>
        <w:fldChar w:fldCharType="end"/>
      </w:r>
      <w:bookmarkEnd w:id="59"/>
      <w:r>
        <w:rPr>
          <w:sz w:val="18"/>
          <w:szCs w:val="18"/>
        </w:rPr>
        <w:t xml:space="preserve">: Idem à la </w:t>
      </w:r>
      <w:r>
        <w:rPr>
          <w:sz w:val="18"/>
          <w:szCs w:val="18"/>
        </w:rPr>
        <w:fldChar w:fldCharType="begin"/>
      </w:r>
      <w:r>
        <w:rPr>
          <w:sz w:val="18"/>
          <w:szCs w:val="18"/>
        </w:rPr>
        <w:instrText> REF Ref_Figure10_label_and_number \h </w:instrText>
      </w:r>
      <w:r>
        <w:rPr>
          <w:sz w:val="18"/>
          <w:szCs w:val="18"/>
        </w:rPr>
        <w:fldChar w:fldCharType="separate"/>
      </w:r>
      <w:r>
        <w:rPr>
          <w:sz w:val="18"/>
          <w:szCs w:val="18"/>
        </w:rPr>
        <w:t>Figure 12</w:t>
      </w:r>
      <w:r>
        <w:rPr>
          <w:sz w:val="18"/>
          <w:szCs w:val="18"/>
        </w:rPr>
        <w:fldChar w:fldCharType="end"/>
      </w:r>
      <w:r>
        <w:rPr>
          <w:sz w:val="18"/>
          <w:szCs w:val="18"/>
        </w:rPr>
        <w:t>: R10_B01_F00 (en orange), R11_B01_F00 (en vert) et R12_B01_F00 (en rouge)</w:t>
      </w:r>
    </w:p>
    <w:p>
      <w:pPr>
        <w:pStyle w:val="Normal"/>
        <w:jc w:val="both"/>
        <w:rPr>
          <w:rFonts w:ascii="Calibri" w:hAnsi="Calibri" w:eastAsia="Calibri" w:cs="Calibri"/>
          <w:color w:val="0000FF"/>
        </w:rPr>
      </w:pPr>
      <w:r>
        <w:rPr>
          <w:rFonts w:eastAsia="Calibri" w:cs="Calibri" w:ascii="Calibri" w:hAnsi="Calibri"/>
          <w:color w:val="0000FF"/>
        </w:rPr>
      </w:r>
      <w:bookmarkStart w:id="60" w:name="_p530zjir21ml"/>
      <w:bookmarkStart w:id="61" w:name="_p530zjir21ml"/>
      <w:bookmarkEnd w:id="61"/>
    </w:p>
    <w:p>
      <w:pPr>
        <w:pStyle w:val="Normal"/>
        <w:jc w:val="both"/>
        <w:rPr/>
      </w:pPr>
      <w:bookmarkStart w:id="62" w:name="_44sinio"/>
      <w:bookmarkEnd w:id="62"/>
      <w:r>
        <w:rPr>
          <w:rFonts w:eastAsia="Calibri" w:cs="Calibri" w:ascii="Calibri" w:hAnsi="Calibri"/>
        </w:rPr>
        <w:t xml:space="preserve">    </w:t>
      </w:r>
      <w:r>
        <w:rPr>
          <w:rFonts w:eastAsia="Calibri" w:cs="Calibri" w:ascii="Calibri" w:hAnsi="Calibri"/>
        </w:rPr>
        <w:t xml:space="preserve">Nous continuons de mener des expériences dans l’optique  d'améliorer les simulations d’élévations à Langon.  Nous avons mené une série simulations dans lesquelles la rugosité a été fortement augmentée aux sections 12 et 13  situées entre Cadillac et Dorthe. Ces sont les expériences R13, R14 et R15_B01_F00 de la </w:t>
      </w:r>
      <w:r>
        <w:rPr>
          <w:rFonts w:eastAsia="Calibri" w:cs="Calibri" w:ascii="Calibri" w:hAnsi="Calibri"/>
        </w:rPr>
        <w:fldChar w:fldCharType="begin"/>
      </w:r>
      <w:r>
        <w:rPr>
          <w:rFonts w:eastAsia="Calibri" w:cs="Calibri" w:ascii="Calibri" w:hAnsi="Calibri"/>
        </w:rPr>
        <w:instrText> REF Ref_Figure19_label_and_number \h </w:instrText>
      </w:r>
      <w:r>
        <w:rPr>
          <w:rFonts w:eastAsia="Calibri" w:cs="Calibri" w:ascii="Calibri" w:hAnsi="Calibri"/>
        </w:rPr>
        <w:fldChar w:fldCharType="separate"/>
      </w:r>
      <w:r>
        <w:rPr>
          <w:rFonts w:eastAsia="Calibri" w:cs="Calibri" w:ascii="Calibri" w:hAnsi="Calibri"/>
        </w:rPr>
        <w:t>Figure 25</w:t>
      </w:r>
      <w:r>
        <w:rPr>
          <w:rFonts w:eastAsia="Calibri" w:cs="Calibri" w:ascii="Calibri" w:hAnsi="Calibri"/>
        </w:rPr>
        <w:fldChar w:fldCharType="end"/>
      </w:r>
      <w:r>
        <w:rPr>
          <w:rFonts w:eastAsia="Calibri" w:cs="Calibri" w:ascii="Calibri" w:hAnsi="Calibri"/>
        </w:rPr>
        <w:t xml:space="preserve">. L’augmentation de la rugosité a d’une part diminué l’amplitude de la marée  à Langon pour R13_B01_F00, d’autre part elle a contribué à l’accumulation d’eau et donc à l’augmentation du niveau moyen. Des résultats similaires sont obtenus avec les simulations R14_B1_F00 et R15_B1_F00 avec lesquelles la marées et le niveau moyen sont davantage plus faibles et plus hauts respectivement. Ces simulations indiquent tout de même que les ajustement aux sections 12 et 13 sont essentielles à la une bonne simulation de la marée à Langon. Les simulations R13 à R15 ont plutôt un impact négatif sur la simulation du débit à La Réole.  Comparés aux observations, les débits simulés sont un peu plus faibles. </w:t>
      </w:r>
    </w:p>
    <w:p>
      <w:pPr>
        <w:pStyle w:val="Normal"/>
        <w:jc w:val="both"/>
        <w:rPr>
          <w:rFonts w:ascii="Calibri" w:hAnsi="Calibri" w:eastAsia="Calibri" w:cs="Calibri"/>
          <w:color w:val="0000FF"/>
        </w:rPr>
      </w:pPr>
      <w:r>
        <w:rPr>
          <w:rFonts w:eastAsia="Calibri" w:cs="Calibri" w:ascii="Calibri" w:hAnsi="Calibri"/>
          <w:color w:val="0000FF"/>
        </w:rPr>
      </w:r>
      <w:bookmarkStart w:id="63" w:name="_3zmiauq38vx5"/>
      <w:bookmarkStart w:id="64" w:name="_3zmiauq38vx5"/>
      <w:bookmarkEnd w:id="64"/>
    </w:p>
    <w:p>
      <w:pPr>
        <w:pStyle w:val="Normal"/>
        <w:rPr/>
      </w:pPr>
      <w:r>
        <w:rPr/>
        <w:drawing>
          <wp:inline distT="0" distB="0" distL="0" distR="0">
            <wp:extent cx="5734050" cy="6722745"/>
            <wp:effectExtent l="0" t="0" r="0" b="0"/>
            <wp:docPr id="35" name="image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5.png" descr=""/>
                    <pic:cNvPicPr>
                      <a:picLocks noChangeAspect="1" noChangeArrowheads="1"/>
                    </pic:cNvPicPr>
                  </pic:nvPicPr>
                  <pic:blipFill>
                    <a:blip r:embed="rId39"/>
                    <a:srcRect l="0" t="-745" r="0" b="0"/>
                    <a:stretch>
                      <a:fillRect/>
                    </a:stretch>
                  </pic:blipFill>
                  <pic:spPr bwMode="auto">
                    <a:xfrm>
                      <a:off x="0" y="0"/>
                      <a:ext cx="5734050" cy="6722745"/>
                    </a:xfrm>
                    <a:prstGeom prst="rect">
                      <a:avLst/>
                    </a:prstGeom>
                  </pic:spPr>
                </pic:pic>
              </a:graphicData>
            </a:graphic>
          </wp:inline>
        </w:drawing>
      </w:r>
    </w:p>
    <w:p>
      <w:pPr>
        <w:pStyle w:val="Normal"/>
        <w:rPr/>
      </w:pPr>
      <w:bookmarkStart w:id="65" w:name="Ref_Figure19_label_and_number"/>
      <w:r>
        <w:rPr>
          <w:sz w:val="18"/>
          <w:szCs w:val="18"/>
        </w:rPr>
        <w:t xml:space="preserve">Figure </w:t>
      </w:r>
      <w:r>
        <w:rPr>
          <w:sz w:val="18"/>
          <w:szCs w:val="18"/>
        </w:rPr>
        <w:fldChar w:fldCharType="begin"/>
      </w:r>
      <w:r>
        <w:rPr>
          <w:sz w:val="18"/>
          <w:szCs w:val="18"/>
        </w:rPr>
        <w:instrText> SEQ Figure \* ARABIC </w:instrText>
      </w:r>
      <w:r>
        <w:rPr>
          <w:sz w:val="18"/>
          <w:szCs w:val="18"/>
        </w:rPr>
        <w:fldChar w:fldCharType="separate"/>
      </w:r>
      <w:r>
        <w:rPr>
          <w:sz w:val="18"/>
          <w:szCs w:val="18"/>
        </w:rPr>
        <w:t>25</w:t>
      </w:r>
      <w:r>
        <w:rPr>
          <w:sz w:val="18"/>
          <w:szCs w:val="18"/>
        </w:rPr>
        <w:fldChar w:fldCharType="end"/>
      </w:r>
      <w:bookmarkEnd w:id="65"/>
      <w:r>
        <w:rPr>
          <w:sz w:val="18"/>
          <w:szCs w:val="18"/>
        </w:rPr>
        <w:t xml:space="preserve">: Idem à la </w:t>
      </w:r>
      <w:r>
        <w:rPr>
          <w:sz w:val="18"/>
          <w:szCs w:val="18"/>
        </w:rPr>
        <w:fldChar w:fldCharType="begin"/>
      </w:r>
      <w:r>
        <w:rPr>
          <w:sz w:val="18"/>
          <w:szCs w:val="18"/>
        </w:rPr>
        <w:instrText> REF Ref_Figure10_label_and_number \h </w:instrText>
      </w:r>
      <w:r>
        <w:rPr>
          <w:sz w:val="18"/>
          <w:szCs w:val="18"/>
        </w:rPr>
        <w:fldChar w:fldCharType="separate"/>
      </w:r>
      <w:r>
        <w:rPr>
          <w:sz w:val="18"/>
          <w:szCs w:val="18"/>
        </w:rPr>
        <w:t>Figure 12</w:t>
      </w:r>
      <w:r>
        <w:rPr>
          <w:sz w:val="18"/>
          <w:szCs w:val="18"/>
        </w:rPr>
        <w:fldChar w:fldCharType="end"/>
      </w:r>
      <w:r>
        <w:rPr>
          <w:sz w:val="18"/>
          <w:szCs w:val="18"/>
        </w:rPr>
        <w:t>: R13_B01_F00 (en ...), R14_B01_F00 (en orange) et R15_B01_F00 (en vert)</w:t>
      </w:r>
    </w:p>
    <w:p>
      <w:pPr>
        <w:pStyle w:val="Normal"/>
        <w:rPr/>
      </w:pPr>
      <w:r>
        <w:rPr/>
        <w:drawing>
          <wp:inline distT="0" distB="0" distL="0" distR="0">
            <wp:extent cx="5731510" cy="4267200"/>
            <wp:effectExtent l="0" t="0" r="0" b="0"/>
            <wp:docPr id="36"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png" descr=""/>
                    <pic:cNvPicPr>
                      <a:picLocks noChangeAspect="1" noChangeArrowheads="1"/>
                    </pic:cNvPicPr>
                  </pic:nvPicPr>
                  <pic:blipFill>
                    <a:blip r:embed="rId40"/>
                    <a:stretch>
                      <a:fillRect/>
                    </a:stretch>
                  </pic:blipFill>
                  <pic:spPr bwMode="auto">
                    <a:xfrm>
                      <a:off x="0" y="0"/>
                      <a:ext cx="5731510" cy="4267200"/>
                    </a:xfrm>
                    <a:prstGeom prst="rect">
                      <a:avLst/>
                    </a:prstGeom>
                  </pic:spPr>
                </pic:pic>
              </a:graphicData>
            </a:graphic>
          </wp:inline>
        </w:drawing>
      </w:r>
    </w:p>
    <w:p>
      <w:pPr>
        <w:pStyle w:val="Normal"/>
        <w:rPr/>
      </w:pPr>
      <w:r>
        <w:rPr>
          <w:sz w:val="18"/>
          <w:szCs w:val="18"/>
        </w:rPr>
        <w:t xml:space="preserve">Figure </w:t>
      </w:r>
      <w:r>
        <w:rPr>
          <w:sz w:val="18"/>
          <w:szCs w:val="18"/>
        </w:rPr>
        <w:fldChar w:fldCharType="begin"/>
      </w:r>
      <w:r>
        <w:rPr>
          <w:sz w:val="18"/>
          <w:szCs w:val="18"/>
        </w:rPr>
        <w:instrText> SEQ Figure \* ARABIC </w:instrText>
      </w:r>
      <w:r>
        <w:rPr>
          <w:sz w:val="18"/>
          <w:szCs w:val="18"/>
        </w:rPr>
        <w:fldChar w:fldCharType="separate"/>
      </w:r>
      <w:r>
        <w:rPr>
          <w:sz w:val="18"/>
          <w:szCs w:val="18"/>
        </w:rPr>
        <w:t>26</w:t>
      </w:r>
      <w:r>
        <w:rPr>
          <w:sz w:val="18"/>
          <w:szCs w:val="18"/>
        </w:rPr>
        <w:fldChar w:fldCharType="end"/>
      </w:r>
      <w:r>
        <w:rPr>
          <w:sz w:val="18"/>
          <w:szCs w:val="18"/>
        </w:rPr>
        <w:t>: Comparaison entre débits observés (en noir) et simulés à La Réole:R00_B00_F00 (en bleu), R13_B01_F00 (en ...), R14_B01_F00 (en orange) et R15_B01_F00 (en vert)</w:t>
      </w:r>
    </w:p>
    <w:p>
      <w:pPr>
        <w:pStyle w:val="Normal"/>
        <w:rPr>
          <w:sz w:val="18"/>
          <w:szCs w:val="18"/>
        </w:rPr>
      </w:pPr>
      <w:r>
        <w:rPr>
          <w:sz w:val="18"/>
          <w:szCs w:val="18"/>
        </w:rPr>
      </w:r>
    </w:p>
    <w:p>
      <w:pPr>
        <w:pStyle w:val="Normal"/>
        <w:jc w:val="both"/>
        <w:rPr/>
      </w:pPr>
      <w:bookmarkStart w:id="66" w:name="_qa2rruozd77r"/>
      <w:bookmarkEnd w:id="66"/>
      <w:r>
        <w:rPr>
          <w:rFonts w:eastAsia="Calibri" w:cs="Calibri" w:ascii="Calibri" w:hAnsi="Calibri"/>
        </w:rPr>
        <w:t xml:space="preserve">    </w:t>
      </w:r>
      <w:r>
        <w:rPr>
          <w:rFonts w:eastAsia="Calibri" w:cs="Calibri" w:ascii="Calibri" w:hAnsi="Calibri"/>
        </w:rPr>
        <w:t>En somme cette section a été dédiée à des simulation réalistes du débit et de l’élévation sur la Garonne. Pour y arriver nous avons ajusté trois paramètres: la rugosité, le seuil et l’offset de la bathymétrie. Compte tenu du fait que les élévations sont prescrites aux frontières du modèle, il a été en premier question pour nous d’ajuster les paramètres du modèle afin de simuler correctement le débit à La Réole. La simulation basée sur les valeurs initiales des trois paramètres a surestimé ce dernier débit et nous a conduit à d’abord ajuster la rugosité.  En imposant une rugosité très forte entre Castet et La Réole, nous parvenons  à ajuster le débit à La Réole mais pas le niveau de l’eau dans les stations en aval que sont Bordeaux, Cadillac et Langon.  Plusieurs séries de tests ont été conduites pour atteindre ces deux objectifs. A ce stade, les simulations R10_B01_F00 et R11_B01_F00 sont les plus satisfaisantes. Elles présentent encore des failles à Langon qui se caractérise par une forte trop forte. Nous avons débuté des expériences supplémentaires dans l’optique de corriger ce défaut du modèle.</w:t>
      </w:r>
    </w:p>
    <w:p>
      <w:pPr>
        <w:pStyle w:val="Normal"/>
        <w:jc w:val="both"/>
        <w:rPr>
          <w:rFonts w:ascii="Calibri" w:hAnsi="Calibri" w:eastAsia="Calibri" w:cs="Calibri"/>
        </w:rPr>
      </w:pPr>
      <w:bookmarkStart w:id="67" w:name="_ru3m1bba791g"/>
      <w:bookmarkEnd w:id="67"/>
      <w:r>
        <w:rPr>
          <w:rFonts w:eastAsia="Calibri" w:cs="Calibri" w:ascii="Calibri" w:hAnsi="Calibri"/>
        </w:rPr>
        <w:t xml:space="preserve"> </w:t>
      </w:r>
    </w:p>
    <w:p>
      <w:pPr>
        <w:pStyle w:val="Normal"/>
        <w:jc w:val="both"/>
        <w:rPr>
          <w:rFonts w:ascii="Calibri" w:hAnsi="Calibri" w:eastAsia="Calibri" w:cs="Calibri"/>
          <w:color w:val="0000FF"/>
        </w:rPr>
      </w:pPr>
      <w:r>
        <w:rPr>
          <w:rFonts w:eastAsia="Calibri" w:cs="Calibri" w:ascii="Calibri" w:hAnsi="Calibri"/>
          <w:color w:val="0000FF"/>
        </w:rPr>
      </w:r>
      <w:bookmarkStart w:id="68" w:name="_7jzrdncdcxbi"/>
      <w:bookmarkStart w:id="69" w:name="_7jzrdncdcxbi"/>
      <w:bookmarkEnd w:id="69"/>
    </w:p>
    <w:p>
      <w:pPr>
        <w:pStyle w:val="Normal"/>
        <w:jc w:val="both"/>
        <w:rPr>
          <w:rFonts w:ascii="Calibri" w:hAnsi="Calibri" w:eastAsia="Calibri" w:cs="Calibri"/>
          <w:color w:val="0000FF"/>
        </w:rPr>
      </w:pPr>
      <w:bookmarkStart w:id="70" w:name="_z337ya"/>
      <w:bookmarkEnd w:id="70"/>
      <w:r>
        <w:rPr>
          <w:rFonts w:eastAsia="Calibri" w:cs="Calibri" w:ascii="Calibri" w:hAnsi="Calibri"/>
          <w:color w:val="0000FF"/>
        </w:rPr>
        <w:t xml:space="preserve">   </w:t>
      </w:r>
    </w:p>
    <w:p>
      <w:pPr>
        <w:pStyle w:val="Normal"/>
        <w:jc w:val="both"/>
        <w:rPr>
          <w:rFonts w:ascii="Calibri" w:hAnsi="Calibri" w:eastAsia="Calibri" w:cs="Calibri"/>
          <w:color w:val="0000FF"/>
        </w:rPr>
      </w:pPr>
      <w:r>
        <w:rPr>
          <w:rFonts w:eastAsia="Calibri" w:cs="Calibri" w:ascii="Calibri" w:hAnsi="Calibri"/>
          <w:color w:val="0000FF"/>
        </w:rPr>
      </w:r>
      <w:bookmarkStart w:id="71" w:name="_x2cx244y8i9h"/>
      <w:bookmarkStart w:id="72" w:name="_x2cx244y8i9h"/>
      <w:bookmarkEnd w:id="72"/>
    </w:p>
    <w:p>
      <w:pPr>
        <w:pStyle w:val="Normal"/>
        <w:jc w:val="both"/>
        <w:rPr>
          <w:rFonts w:ascii="Calibri" w:hAnsi="Calibri" w:eastAsia="Calibri" w:cs="Calibri"/>
          <w:color w:val="0000FF"/>
        </w:rPr>
      </w:pPr>
      <w:r>
        <w:rPr>
          <w:rFonts w:eastAsia="Calibri" w:cs="Calibri" w:ascii="Calibri" w:hAnsi="Calibri"/>
          <w:color w:val="0000FF"/>
        </w:rPr>
      </w:r>
      <w:bookmarkStart w:id="73" w:name="_3j2qqm3"/>
      <w:bookmarkStart w:id="74" w:name="_3j2qqm3"/>
      <w:bookmarkEnd w:id="74"/>
    </w:p>
    <w:p>
      <w:pPr>
        <w:pStyle w:val="Normal"/>
        <w:jc w:val="both"/>
        <w:rPr>
          <w:rFonts w:ascii="Calibri" w:hAnsi="Calibri" w:eastAsia="Calibri" w:cs="Calibri"/>
          <w:color w:val="0000FF"/>
        </w:rPr>
      </w:pPr>
      <w:r>
        <w:rPr>
          <w:rFonts w:eastAsia="Calibri" w:cs="Calibri" w:ascii="Calibri" w:hAnsi="Calibri"/>
          <w:color w:val="0000FF"/>
        </w:rPr>
      </w:r>
      <w:bookmarkStart w:id="75" w:name="_1y810tw"/>
      <w:bookmarkStart w:id="76" w:name="_1y810tw"/>
      <w:bookmarkEnd w:id="76"/>
    </w:p>
    <w:p>
      <w:pPr>
        <w:pStyle w:val="Normal"/>
        <w:jc w:val="both"/>
        <w:rPr>
          <w:rFonts w:ascii="Calibri" w:hAnsi="Calibri" w:eastAsia="Calibri" w:cs="Calibri"/>
          <w:color w:val="0000FF"/>
        </w:rPr>
      </w:pPr>
      <w:r>
        <w:rPr>
          <w:rFonts w:eastAsia="Calibri" w:cs="Calibri" w:ascii="Calibri" w:hAnsi="Calibri"/>
          <w:color w:val="0000FF"/>
        </w:rPr>
      </w:r>
      <w:bookmarkStart w:id="77" w:name="_4i7ojhp"/>
      <w:bookmarkStart w:id="78" w:name="_4i7ojhp"/>
      <w:bookmarkEnd w:id="78"/>
    </w:p>
    <w:p>
      <w:pPr>
        <w:pStyle w:val="Normal"/>
        <w:jc w:val="both"/>
        <w:rPr>
          <w:rFonts w:ascii="Calibri" w:hAnsi="Calibri" w:eastAsia="Calibri" w:cs="Calibri"/>
          <w:color w:val="0000FF"/>
        </w:rPr>
      </w:pPr>
      <w:r>
        <w:rPr>
          <w:rFonts w:eastAsia="Calibri" w:cs="Calibri" w:ascii="Calibri" w:hAnsi="Calibri"/>
          <w:color w:val="0000FF"/>
        </w:rPr>
      </w:r>
      <w:bookmarkStart w:id="79" w:name="_2xcytpi"/>
      <w:bookmarkStart w:id="80" w:name="_2xcytpi"/>
      <w:bookmarkEnd w:id="80"/>
    </w:p>
    <w:p>
      <w:pPr>
        <w:pStyle w:val="Normal"/>
        <w:jc w:val="both"/>
        <w:rPr>
          <w:rFonts w:ascii="Calibri" w:hAnsi="Calibri" w:eastAsia="Calibri" w:cs="Calibri"/>
          <w:color w:val="0000FF"/>
        </w:rPr>
      </w:pPr>
      <w:r>
        <w:rPr>
          <w:rFonts w:eastAsia="Calibri" w:cs="Calibri" w:ascii="Calibri" w:hAnsi="Calibri"/>
          <w:color w:val="0000FF"/>
        </w:rPr>
      </w:r>
      <w:bookmarkStart w:id="81" w:name="_1ci93xb"/>
      <w:bookmarkStart w:id="82" w:name="_1ci93xb"/>
      <w:bookmarkEnd w:id="82"/>
    </w:p>
    <w:p>
      <w:pPr>
        <w:pStyle w:val="Normal"/>
        <w:jc w:val="both"/>
        <w:rPr>
          <w:rFonts w:ascii="Calibri" w:hAnsi="Calibri" w:eastAsia="Calibri" w:cs="Calibri"/>
          <w:color w:val="0000FF"/>
        </w:rPr>
      </w:pPr>
      <w:r>
        <w:rPr>
          <w:rFonts w:eastAsia="Calibri" w:cs="Calibri" w:ascii="Calibri" w:hAnsi="Calibri"/>
          <w:color w:val="0000FF"/>
        </w:rPr>
      </w:r>
      <w:bookmarkStart w:id="83" w:name="_3whwml4"/>
      <w:bookmarkStart w:id="84" w:name="_3whwml4"/>
      <w:bookmarkEnd w:id="84"/>
    </w:p>
    <w:p>
      <w:pPr>
        <w:pStyle w:val="Normal"/>
        <w:jc w:val="both"/>
        <w:rPr>
          <w:rFonts w:ascii="Calibri" w:hAnsi="Calibri" w:eastAsia="Calibri" w:cs="Calibri"/>
          <w:color w:val="0000FF"/>
        </w:rPr>
      </w:pPr>
      <w:r>
        <w:rPr>
          <w:rFonts w:eastAsia="Calibri" w:cs="Calibri" w:ascii="Calibri" w:hAnsi="Calibri"/>
          <w:color w:val="0000FF"/>
        </w:rPr>
      </w:r>
      <w:bookmarkStart w:id="85" w:name="_2bn6wsx"/>
      <w:bookmarkStart w:id="86" w:name="_2bn6wsx"/>
      <w:bookmarkEnd w:id="86"/>
    </w:p>
    <w:p>
      <w:pPr>
        <w:pStyle w:val="Normal"/>
        <w:jc w:val="both"/>
        <w:rPr>
          <w:rFonts w:ascii="Calibri" w:hAnsi="Calibri" w:eastAsia="Calibri" w:cs="Calibri"/>
          <w:color w:val="0000FF"/>
        </w:rPr>
      </w:pPr>
      <w:r>
        <w:rPr>
          <w:rFonts w:eastAsia="Calibri" w:cs="Calibri" w:ascii="Calibri" w:hAnsi="Calibri"/>
          <w:color w:val="0000FF"/>
        </w:rPr>
      </w:r>
      <w:bookmarkStart w:id="87" w:name="_qsh70q"/>
      <w:bookmarkStart w:id="88" w:name="_qsh70q"/>
      <w:bookmarkEnd w:id="88"/>
    </w:p>
    <w:p>
      <w:pPr>
        <w:pStyle w:val="Normal"/>
        <w:jc w:val="both"/>
        <w:rPr>
          <w:rFonts w:ascii="Calibri" w:hAnsi="Calibri" w:eastAsia="Calibri" w:cs="Calibri"/>
          <w:color w:val="0000FF"/>
        </w:rPr>
      </w:pPr>
      <w:r>
        <w:rPr>
          <w:rFonts w:eastAsia="Calibri" w:cs="Calibri" w:ascii="Calibri" w:hAnsi="Calibri"/>
          <w:color w:val="0000FF"/>
        </w:rPr>
      </w:r>
      <w:bookmarkStart w:id="89" w:name="_3as4poj"/>
      <w:bookmarkStart w:id="90" w:name="_3as4poj"/>
      <w:bookmarkEnd w:id="90"/>
    </w:p>
    <w:p>
      <w:pPr>
        <w:pStyle w:val="Normal"/>
        <w:jc w:val="both"/>
        <w:rPr>
          <w:rFonts w:ascii="Calibri" w:hAnsi="Calibri" w:eastAsia="Calibri" w:cs="Calibri"/>
          <w:color w:val="0000FF"/>
        </w:rPr>
      </w:pPr>
      <w:r>
        <w:rPr>
          <w:rFonts w:eastAsia="Calibri" w:cs="Calibri" w:ascii="Calibri" w:hAnsi="Calibri"/>
          <w:color w:val="0000FF"/>
        </w:rPr>
      </w:r>
      <w:bookmarkStart w:id="91" w:name="_1pxezwc"/>
      <w:bookmarkStart w:id="92" w:name="_1pxezwc"/>
      <w:bookmarkEnd w:id="92"/>
    </w:p>
    <w:p>
      <w:pPr>
        <w:pStyle w:val="Normal"/>
        <w:jc w:val="both"/>
        <w:rPr>
          <w:rFonts w:ascii="Calibri" w:hAnsi="Calibri" w:eastAsia="Calibri" w:cs="Calibri"/>
          <w:color w:val="0000FF"/>
        </w:rPr>
      </w:pPr>
      <w:r>
        <w:rPr>
          <w:rFonts w:eastAsia="Calibri" w:cs="Calibri" w:ascii="Calibri" w:hAnsi="Calibri"/>
          <w:color w:val="0000FF"/>
        </w:rPr>
      </w:r>
      <w:bookmarkStart w:id="93" w:name="_49x2ik5"/>
      <w:bookmarkStart w:id="94" w:name="_49x2ik5"/>
      <w:bookmarkEnd w:id="94"/>
    </w:p>
    <w:p>
      <w:pPr>
        <w:pStyle w:val="Normal"/>
        <w:jc w:val="both"/>
        <w:rPr>
          <w:rFonts w:ascii="Calibri" w:hAnsi="Calibri" w:eastAsia="Calibri" w:cs="Calibri"/>
          <w:color w:val="0000FF"/>
        </w:rPr>
      </w:pPr>
      <w:r>
        <w:rPr>
          <w:rFonts w:eastAsia="Calibri" w:cs="Calibri" w:ascii="Calibri" w:hAnsi="Calibri"/>
          <w:color w:val="0000FF"/>
        </w:rPr>
      </w:r>
      <w:bookmarkStart w:id="95" w:name="_2p2csry"/>
      <w:bookmarkStart w:id="96" w:name="_2p2csry"/>
      <w:bookmarkEnd w:id="96"/>
    </w:p>
    <w:p>
      <w:pPr>
        <w:pStyle w:val="Normal"/>
        <w:jc w:val="both"/>
        <w:rPr>
          <w:rFonts w:ascii="Calibri" w:hAnsi="Calibri" w:eastAsia="Calibri" w:cs="Calibri"/>
          <w:color w:val="0000FF"/>
        </w:rPr>
      </w:pPr>
      <w:r>
        <w:rPr>
          <w:rFonts w:eastAsia="Calibri" w:cs="Calibri" w:ascii="Calibri" w:hAnsi="Calibri"/>
          <w:color w:val="0000FF"/>
        </w:rPr>
      </w:r>
      <w:bookmarkStart w:id="97" w:name="_147n2zr"/>
      <w:bookmarkStart w:id="98" w:name="_147n2zr"/>
      <w:bookmarkEnd w:id="98"/>
    </w:p>
    <w:p>
      <w:pPr>
        <w:pStyle w:val="Normal"/>
        <w:jc w:val="both"/>
        <w:rPr>
          <w:rFonts w:ascii="Calibri" w:hAnsi="Calibri" w:eastAsia="Calibri" w:cs="Calibri"/>
          <w:color w:val="0000FF"/>
        </w:rPr>
      </w:pPr>
      <w:r>
        <w:rPr>
          <w:rFonts w:eastAsia="Calibri" w:cs="Calibri" w:ascii="Calibri" w:hAnsi="Calibri"/>
          <w:color w:val="0000FF"/>
        </w:rPr>
      </w:r>
      <w:bookmarkStart w:id="99" w:name="_3o7alnk"/>
      <w:bookmarkStart w:id="100" w:name="_3o7alnk"/>
      <w:bookmarkEnd w:id="100"/>
    </w:p>
    <w:p>
      <w:pPr>
        <w:pStyle w:val="Normal"/>
        <w:jc w:val="both"/>
        <w:rPr>
          <w:rFonts w:ascii="Calibri" w:hAnsi="Calibri" w:eastAsia="Calibri" w:cs="Calibri"/>
          <w:color w:val="0000FF"/>
        </w:rPr>
      </w:pPr>
      <w:r>
        <w:rPr>
          <w:rFonts w:eastAsia="Calibri" w:cs="Calibri" w:ascii="Calibri" w:hAnsi="Calibri"/>
          <w:color w:val="0000FF"/>
        </w:rPr>
      </w:r>
      <w:bookmarkStart w:id="101" w:name="_23ckvvd"/>
      <w:bookmarkStart w:id="102" w:name="_23ckvvd"/>
      <w:bookmarkEnd w:id="102"/>
    </w:p>
    <w:p>
      <w:pPr>
        <w:pStyle w:val="Normal"/>
        <w:jc w:val="both"/>
        <w:rPr>
          <w:rFonts w:ascii="Calibri" w:hAnsi="Calibri" w:eastAsia="Calibri" w:cs="Calibri"/>
          <w:color w:val="0000FF"/>
        </w:rPr>
      </w:pPr>
      <w:r>
        <w:rPr>
          <w:rFonts w:eastAsia="Calibri" w:cs="Calibri" w:ascii="Calibri" w:hAnsi="Calibri"/>
          <w:color w:val="0000FF"/>
        </w:rPr>
      </w:r>
      <w:bookmarkStart w:id="103" w:name="_ihv636"/>
      <w:bookmarkStart w:id="104" w:name="_ihv636"/>
      <w:bookmarkEnd w:id="104"/>
    </w:p>
    <w:p>
      <w:pPr>
        <w:pStyle w:val="Normal"/>
        <w:jc w:val="both"/>
        <w:rPr>
          <w:rFonts w:ascii="Calibri" w:hAnsi="Calibri" w:eastAsia="Calibri" w:cs="Calibri"/>
          <w:color w:val="0000FF"/>
        </w:rPr>
      </w:pPr>
      <w:r>
        <w:rPr>
          <w:rFonts w:eastAsia="Calibri" w:cs="Calibri" w:ascii="Calibri" w:hAnsi="Calibri"/>
          <w:color w:val="0000FF"/>
        </w:rPr>
      </w:r>
      <w:bookmarkStart w:id="105" w:name="_32hioqz"/>
      <w:bookmarkStart w:id="106" w:name="_32hioqz"/>
      <w:bookmarkEnd w:id="106"/>
    </w:p>
    <w:p>
      <w:pPr>
        <w:pStyle w:val="Normal"/>
        <w:jc w:val="both"/>
        <w:rPr>
          <w:rFonts w:ascii="Calibri" w:hAnsi="Calibri" w:eastAsia="Calibri" w:cs="Calibri"/>
          <w:color w:val="0000FF"/>
        </w:rPr>
      </w:pPr>
      <w:r>
        <w:rPr>
          <w:rFonts w:eastAsia="Calibri" w:cs="Calibri" w:ascii="Calibri" w:hAnsi="Calibri"/>
          <w:color w:val="0000FF"/>
        </w:rPr>
      </w:r>
      <w:bookmarkStart w:id="107" w:name="_1hmsyys"/>
      <w:bookmarkStart w:id="108" w:name="_1hmsyys"/>
      <w:bookmarkEnd w:id="108"/>
    </w:p>
    <w:p>
      <w:pPr>
        <w:pStyle w:val="Normal"/>
        <w:jc w:val="both"/>
        <w:rPr>
          <w:rFonts w:ascii="Calibri" w:hAnsi="Calibri" w:eastAsia="Calibri" w:cs="Calibri"/>
          <w:color w:val="0000FF"/>
        </w:rPr>
      </w:pPr>
      <w:r>
        <w:rPr>
          <w:rFonts w:eastAsia="Calibri" w:cs="Calibri" w:ascii="Calibri" w:hAnsi="Calibri"/>
          <w:color w:val="0000FF"/>
        </w:rPr>
      </w:r>
      <w:bookmarkStart w:id="109" w:name="_41mghml"/>
      <w:bookmarkStart w:id="110" w:name="_41mghml"/>
      <w:bookmarkEnd w:id="110"/>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sz w:val="18"/>
          <w:szCs w:val="18"/>
        </w:rPr>
      </w:pPr>
      <w:r>
        <w:rPr>
          <w:sz w:val="18"/>
          <w:szCs w:val="18"/>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sz w:val="18"/>
          <w:szCs w:val="18"/>
        </w:rPr>
      </w:pPr>
      <w:r>
        <w:rPr>
          <w:sz w:val="18"/>
          <w:szCs w:val="18"/>
        </w:rPr>
      </w:r>
    </w:p>
    <w:p>
      <w:pPr>
        <w:pStyle w:val="Normal"/>
        <w:rPr/>
      </w:pPr>
      <w:r>
        <w:rPr/>
      </w:r>
    </w:p>
    <w:p>
      <w:pPr>
        <w:pStyle w:val="Normal"/>
        <w:rPr/>
      </w:pPr>
      <w:r>
        <w:rPr/>
      </w:r>
    </w:p>
    <w:p>
      <w:pPr>
        <w:pStyle w:val="Normal"/>
        <w:rPr>
          <w:sz w:val="18"/>
          <w:szCs w:val="18"/>
        </w:rPr>
      </w:pPr>
      <w:r>
        <w:rPr>
          <w:sz w:val="18"/>
          <w:szCs w:val="18"/>
        </w:rPr>
        <w:t xml:space="preserve"> </w:t>
      </w:r>
    </w:p>
    <w:p>
      <w:pPr>
        <w:pStyle w:val="Normal"/>
        <w:rPr/>
      </w:pPr>
      <w:r>
        <w:rPr/>
      </w:r>
    </w:p>
    <w:p>
      <w:pPr>
        <w:pStyle w:val="Normal"/>
        <w:rPr/>
      </w:pPr>
      <w:r>
        <w:rPr/>
      </w:r>
    </w:p>
    <w:p>
      <w:pPr>
        <w:pStyle w:val="Normal"/>
        <w:rPr/>
      </w:pPr>
      <w:r>
        <w:rPr/>
        <w:t xml:space="preserve">Annexe avec d’autres test à voir. </w:t>
      </w:r>
    </w:p>
    <w:p>
      <w:pPr>
        <w:pStyle w:val="Normal"/>
        <w:rPr/>
      </w:pPr>
      <w:r>
        <w:rPr/>
      </w:r>
    </w:p>
    <w:p>
      <w:pPr>
        <w:pStyle w:val="Normal"/>
        <w:rPr/>
      </w:pPr>
      <w:r>
        <w:rPr/>
      </w:r>
    </w:p>
    <w:p>
      <w:pPr>
        <w:pStyle w:val="Normal"/>
        <w:rPr/>
      </w:pPr>
      <w:r>
        <w:rPr/>
      </w:r>
    </w:p>
    <w:p>
      <w:pPr>
        <w:pStyle w:val="Normal"/>
        <w:rPr/>
      </w:pPr>
      <w:r>
        <w:rPr/>
      </w:r>
      <w:r>
        <w:br w:type="page"/>
      </w:r>
    </w:p>
    <w:p>
      <w:pPr>
        <w:pStyle w:val="Heading1"/>
        <w:numPr>
          <w:ilvl w:val="0"/>
          <w:numId w:val="3"/>
        </w:numPr>
        <w:rPr/>
      </w:pPr>
      <w:bookmarkStart w:id="111" w:name="_Toc56526511"/>
      <w:r>
        <w:rPr/>
        <w:t>Analyse du signal de marée</w:t>
      </w:r>
      <w:bookmarkEnd w:id="111"/>
    </w:p>
    <w:p>
      <w:pPr>
        <w:pStyle w:val="Normal"/>
        <w:rPr>
          <w:rFonts w:ascii="Calibri" w:hAnsi="Calibri" w:eastAsia="Calibri" w:cs="Calibri"/>
          <w:b/>
          <w:b/>
          <w:sz w:val="24"/>
          <w:szCs w:val="24"/>
        </w:rPr>
      </w:pPr>
      <w:r>
        <w:rPr>
          <w:rFonts w:eastAsia="Calibri" w:cs="Calibri" w:ascii="Calibri" w:hAnsi="Calibri"/>
          <w:b/>
          <w:sz w:val="24"/>
          <w:szCs w:val="24"/>
        </w:rPr>
      </w:r>
    </w:p>
    <w:p>
      <w:pPr>
        <w:pStyle w:val="Heading2"/>
        <w:numPr>
          <w:ilvl w:val="1"/>
          <w:numId w:val="3"/>
        </w:numPr>
        <w:rPr/>
      </w:pPr>
      <w:bookmarkStart w:id="112" w:name="_Toc56526512"/>
      <w:r>
        <w:rPr/>
        <w:t>Contexte et objectifs</w:t>
      </w:r>
      <w:bookmarkEnd w:id="112"/>
    </w:p>
    <w:p>
      <w:pPr>
        <w:pStyle w:val="Normal"/>
        <w:jc w:val="both"/>
        <w:rPr/>
      </w:pPr>
      <w:r>
        <w:rPr/>
      </w:r>
    </w:p>
    <w:sectPr>
      <w:footerReference w:type="default" r:id="rId41"/>
      <w:type w:val="nextPage"/>
      <w:pgSz w:w="11906" w:h="16838"/>
      <w:pgMar w:left="1440" w:right="1440" w:header="0" w:top="1440" w:footer="720" w:bottom="1440" w:gutter="0"/>
      <w:pgNumType w:start="1" w:fmt="decimal"/>
      <w:formProt w:val="false"/>
      <w:textDirection w:val="lrTb"/>
      <w:docGrid w:type="default" w:linePitch="100" w:charSpace="4096"/>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Damien Allain" w:date="2020-11-23T10:20:00Z" w:initials="DA">
    <w:p>
      <w:r>
        <w:rPr>
          <w:rFonts w:ascii="Liberation Serif" w:hAnsi="Liberation Serif" w:eastAsia="DejaVu Sans" w:cs="DejaVu Sans"/>
          <w:sz w:val="20"/>
          <w:szCs w:val="24"/>
          <w:lang w:val="en-US" w:eastAsia="en-US" w:bidi="en-US"/>
        </w:rPr>
        <w:t>ajouter une description des figures suivante</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Calibri">
    <w:charset w:val="01"/>
    <w:family w:val="swiss"/>
    <w:pitch w:val="variable"/>
  </w:font>
  <w:font w:name="Tahoma">
    <w:charset w:val="01"/>
    <w:family w:val="roman"/>
    <w:pitch w:val="variable"/>
  </w:font>
  <w:font w:name="Courier New">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Times New Roman">
    <w:charset w:val="01"/>
    <w:family w:val="roman"/>
    <w:pitch w:val="variable"/>
  </w:font>
  <w:font w:name="Calibri">
    <w:charset w:val="01"/>
    <w:family w:val="roman"/>
    <w:pitch w:val="variable"/>
  </w:font>
  <w:font w:name="Cambria">
    <w:charset w:val="01"/>
    <w:family w:val="roman"/>
    <w:pitch w:val="variable"/>
  </w:font>
  <w:font w:name="Cambria Math">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right"/>
      <w:rPr/>
    </w:pPr>
    <w:r>
      <w:rPr/>
      <w:fldChar w:fldCharType="begin"/>
    </w:r>
    <w:r>
      <w:rPr/>
      <w:instrText> PAGE </w:instrText>
    </w:r>
    <w:r>
      <w:rPr/>
      <w:fldChar w:fldCharType="separate"/>
    </w:r>
    <w:r>
      <w:rPr/>
      <w:t>22</w:t>
    </w:r>
    <w:r>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decimal"/>
      <w:lvlText w:val="%1"/>
      <w:lvlJc w:val="left"/>
      <w:pPr>
        <w:tabs>
          <w:tab w:val="num" w:pos="0"/>
        </w:tabs>
        <w:ind w:left="360" w:hanging="360"/>
      </w:pPr>
    </w:lvl>
    <w:lvl w:ilvl="1">
      <w:start w:val="1"/>
      <w:pStyle w:val="Heading2"/>
      <w:numFmt w:val="decimal"/>
      <w:lvlText w:val="%1.%2"/>
      <w:lvlJc w:val="left"/>
      <w:pPr>
        <w:tabs>
          <w:tab w:val="num" w:pos="0"/>
        </w:tabs>
        <w:ind w:left="792" w:hanging="432"/>
      </w:pPr>
    </w:lvl>
    <w:lvl w:ilvl="2">
      <w:start w:val="1"/>
      <w:pStyle w:val="Heading3"/>
      <w:numFmt w:val="decimal"/>
      <w:lvlText w:val="%1.%2.%3"/>
      <w:lvlJc w:val="left"/>
      <w:pPr>
        <w:tabs>
          <w:tab w:val="num" w:pos="0"/>
        </w:tabs>
        <w:ind w:left="1224" w:hanging="504"/>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3">
    <w:lvl w:ilvl="0">
      <w:start w:val="1"/>
      <w:numFmt w:val="decimal"/>
      <w:lvlText w:val="%1"/>
      <w:lvlJc w:val="left"/>
      <w:pPr>
        <w:tabs>
          <w:tab w:val="num" w:pos="72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160"/>
        </w:tabs>
        <w:ind w:left="2232" w:hanging="792"/>
      </w:pPr>
    </w:lvl>
    <w:lvl w:ilvl="5">
      <w:start w:val="1"/>
      <w:numFmt w:val="decimal"/>
      <w:lvlText w:val="%1.%2.%3.%4.%5.%6"/>
      <w:lvlJc w:val="left"/>
      <w:pPr>
        <w:tabs>
          <w:tab w:val="num" w:pos="2520"/>
        </w:tabs>
        <w:ind w:left="2736" w:hanging="936"/>
      </w:pPr>
    </w:lvl>
    <w:lvl w:ilvl="6">
      <w:start w:val="1"/>
      <w:numFmt w:val="decimal"/>
      <w:lvlText w:val="%1.%2.%3.%4.%5.%6.%7"/>
      <w:lvlJc w:val="left"/>
      <w:pPr>
        <w:tabs>
          <w:tab w:val="num" w:pos="2880"/>
        </w:tabs>
        <w:ind w:left="3240" w:hanging="1080"/>
      </w:pPr>
    </w:lvl>
    <w:lvl w:ilvl="7">
      <w:start w:val="1"/>
      <w:numFmt w:val="decimal"/>
      <w:lvlText w:val="%1.%2.%3.%4.%5.%6.%7.%8"/>
      <w:lvlJc w:val="left"/>
      <w:pPr>
        <w:tabs>
          <w:tab w:val="num" w:pos="3240"/>
        </w:tabs>
        <w:ind w:left="3744" w:hanging="1224"/>
      </w:pPr>
    </w:lvl>
    <w:lvl w:ilvl="8">
      <w:start w:val="1"/>
      <w:numFmt w:val="decimal"/>
      <w:lvlText w:val="%1.%2.%3.%4.%5.%6.%7.%8.%9"/>
      <w:lvlJc w:val="left"/>
      <w:pPr>
        <w:tabs>
          <w:tab w:val="num" w:pos="3600"/>
        </w:tabs>
        <w:ind w:left="4320" w:hanging="144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trackRevisions/>
  <w:defaultTabStop w:val="720"/>
  <w:autoHyphenation w:val="true"/>
  <w:compat>
    <w:compatSetting w:name="compatibilityMode" w:uri="http://schemas.microsoft.com/office/word" w:val="12"/>
  </w:compat>
  <w:hyphenationZone w:val="425"/>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Cs w:val="22"/>
        <w:lang w:val="fr-FR" w:eastAsia="fr-FR"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Heading1">
    <w:name w:val="Heading 1"/>
    <w:basedOn w:val="ListParagraph"/>
    <w:next w:val="Normal"/>
    <w:qFormat/>
    <w:pPr>
      <w:numPr>
        <w:ilvl w:val="0"/>
        <w:numId w:val="1"/>
      </w:numPr>
      <w:outlineLvl w:val="0"/>
    </w:pPr>
    <w:rPr>
      <w:rFonts w:ascii="Calibri" w:hAnsi="Calibri" w:eastAsia="Calibri" w:cs="Calibri"/>
      <w:b/>
      <w:sz w:val="24"/>
      <w:szCs w:val="24"/>
    </w:rPr>
  </w:style>
  <w:style w:type="paragraph" w:styleId="Heading2">
    <w:name w:val="Heading 2"/>
    <w:basedOn w:val="ListParagraph"/>
    <w:next w:val="Normal"/>
    <w:qFormat/>
    <w:pPr>
      <w:numPr>
        <w:ilvl w:val="1"/>
        <w:numId w:val="1"/>
      </w:numPr>
      <w:outlineLvl w:val="1"/>
    </w:pPr>
    <w:rPr>
      <w:rFonts w:ascii="Calibri" w:hAnsi="Calibri" w:eastAsia="Calibri" w:cs="Calibri"/>
      <w:b/>
      <w:sz w:val="24"/>
      <w:szCs w:val="24"/>
    </w:rPr>
  </w:style>
  <w:style w:type="paragraph" w:styleId="Heading3">
    <w:name w:val="Heading 3"/>
    <w:basedOn w:val="ListParagraph"/>
    <w:next w:val="Normal"/>
    <w:qFormat/>
    <w:pPr>
      <w:numPr>
        <w:ilvl w:val="2"/>
        <w:numId w:val="1"/>
      </w:numPr>
      <w:outlineLvl w:val="2"/>
    </w:pPr>
    <w:rPr>
      <w:rFonts w:ascii="Calibri" w:hAnsi="Calibri" w:eastAsia="Calibri" w:cs="Calibri"/>
      <w:b/>
      <w:sz w:val="24"/>
      <w:szCs w:val="24"/>
    </w:rPr>
  </w:style>
  <w:style w:type="paragraph" w:styleId="Heading4">
    <w:name w:val="Heading 4"/>
    <w:basedOn w:val="Normal"/>
    <w:next w:val="Normal"/>
    <w:qFormat/>
    <w:pPr>
      <w:keepNext w:val="true"/>
      <w:keepLines/>
      <w:spacing w:lineRule="auto" w:line="240" w:before="280" w:after="80"/>
      <w:outlineLvl w:val="3"/>
    </w:pPr>
    <w:rPr>
      <w:color w:val="666666"/>
      <w:sz w:val="24"/>
      <w:szCs w:val="24"/>
    </w:rPr>
  </w:style>
  <w:style w:type="paragraph" w:styleId="Heading5">
    <w:name w:val="Heading 5"/>
    <w:basedOn w:val="Normal"/>
    <w:next w:val="Normal"/>
    <w:qFormat/>
    <w:pPr>
      <w:keepNext w:val="true"/>
      <w:keepLines/>
      <w:spacing w:lineRule="auto" w:line="240" w:before="240" w:after="80"/>
      <w:outlineLvl w:val="4"/>
    </w:pPr>
    <w:rPr>
      <w:color w:val="666666"/>
    </w:rPr>
  </w:style>
  <w:style w:type="paragraph" w:styleId="Heading6">
    <w:name w:val="Heading 6"/>
    <w:basedOn w:val="Normal"/>
    <w:next w:val="Normal"/>
    <w:qFormat/>
    <w:pPr>
      <w:keepNext w:val="true"/>
      <w:keepLines/>
      <w:spacing w:lineRule="auto" w:line="240" w:before="240" w:after="80"/>
      <w:outlineLvl w:val="5"/>
    </w:pPr>
    <w:rPr>
      <w:i/>
      <w:color w:val="666666"/>
    </w:rPr>
  </w:style>
  <w:style w:type="character" w:styleId="DefaultParagraphFont" w:default="1">
    <w:name w:val="Default Paragraph Font"/>
    <w:uiPriority w:val="1"/>
    <w:semiHidden/>
    <w:unhideWhenUsed/>
    <w:qFormat/>
    <w:rPr/>
  </w:style>
  <w:style w:type="character" w:styleId="TextedebullesCar" w:customStyle="1">
    <w:name w:val="Texte de bulles Car"/>
    <w:basedOn w:val="DefaultParagraphFont"/>
    <w:qFormat/>
    <w:rPr>
      <w:rFonts w:ascii="Tahoma" w:hAnsi="Tahoma" w:cs="Tahoma"/>
      <w:sz w:val="16"/>
      <w:szCs w:val="16"/>
    </w:rPr>
  </w:style>
  <w:style w:type="character" w:styleId="InternetLink">
    <w:name w:val="Hyperlink"/>
    <w:basedOn w:val="DefaultParagraphFont"/>
    <w:rPr>
      <w:color w:val="0000FF"/>
      <w:u w:val="single"/>
    </w:rPr>
  </w:style>
  <w:style w:type="character" w:styleId="PrformatHTMLCar" w:customStyle="1">
    <w:name w:val="Préformaté HTML Car"/>
    <w:basedOn w:val="DefaultParagraphFont"/>
    <w:qFormat/>
    <w:rPr>
      <w:rFonts w:ascii="Courier New" w:hAnsi="Courier New" w:eastAsia="Times New Roman" w:cs="Courier New"/>
      <w:sz w:val="20"/>
      <w:szCs w:val="20"/>
    </w:rPr>
  </w:style>
  <w:style w:type="character" w:styleId="PlaceholderText">
    <w:name w:val="Placeholder Text"/>
    <w:basedOn w:val="DefaultParagraphFont"/>
    <w:qFormat/>
    <w:rPr>
      <w:color w:val="808080"/>
    </w:rPr>
  </w:style>
  <w:style w:type="character" w:styleId="IndexLink" w:customStyle="1">
    <w:name w:val="Index Link"/>
    <w:qFormat/>
    <w:rPr/>
  </w:style>
  <w:style w:type="character" w:styleId="Bullets" w:customStyle="1">
    <w:name w:val="Bullets"/>
    <w:qFormat/>
    <w:rPr>
      <w:rFonts w:ascii="OpenSymbol" w:hAnsi="OpenSymbol" w:eastAsia="OpenSymbol" w:cs="OpenSymbol"/>
    </w:rPr>
  </w:style>
  <w:style w:type="character" w:styleId="NumberingSymbols" w:customStyle="1">
    <w:name w:val="Numbering Symbols"/>
    <w:qFormat/>
    <w:rPr/>
  </w:style>
  <w:style w:type="character" w:styleId="CommentaireCar" w:customStyle="1">
    <w:name w:val="Commentaire Car"/>
    <w:basedOn w:val="DefaultParagraphFont"/>
    <w:link w:val="Commentaire"/>
    <w:uiPriority w:val="99"/>
    <w:semiHidden/>
    <w:qFormat/>
    <w:rPr>
      <w:szCs w:val="20"/>
    </w:rPr>
  </w:style>
  <w:style w:type="character" w:styleId="Annotationreference">
    <w:name w:val="annotation reference"/>
    <w:basedOn w:val="DefaultParagraphFont"/>
    <w:uiPriority w:val="99"/>
    <w:semiHidden/>
    <w:unhideWhenUsed/>
    <w:qFormat/>
    <w:rPr>
      <w:sz w:val="16"/>
      <w:szCs w:val="16"/>
    </w:rPr>
  </w:style>
  <w:style w:type="paragraph" w:styleId="Heading" w:customStyle="1">
    <w:name w:val="Heading"/>
    <w:basedOn w:val="Normal"/>
    <w:next w:val="TextBody"/>
    <w:qFormat/>
    <w:pPr>
      <w:keepNext w:val="true"/>
      <w:spacing w:before="240" w:after="120"/>
    </w:pPr>
    <w:rPr>
      <w:rFonts w:ascii="Liberation Sans" w:hAnsi="Liberation Sans" w:eastAsia="Droid Sans Fallback" w:cs="Droid Sans Devanagari"/>
      <w:sz w:val="28"/>
      <w:szCs w:val="28"/>
    </w:rPr>
  </w:style>
  <w:style w:type="paragraph" w:styleId="TextBody">
    <w:name w:val="Body Text"/>
    <w:basedOn w:val="Normal"/>
    <w:pPr>
      <w:spacing w:before="0" w:after="140"/>
    </w:pPr>
    <w:rPr/>
  </w:style>
  <w:style w:type="paragraph" w:styleId="List">
    <w:name w:val="List"/>
    <w:basedOn w:val="TextBody"/>
    <w:pPr/>
    <w:rPr>
      <w:rFonts w:cs="Droid Sans Devanagari"/>
    </w:rPr>
  </w:style>
  <w:style w:type="paragraph" w:styleId="Caption">
    <w:name w:val="Caption"/>
    <w:basedOn w:val="Normal"/>
    <w:qFormat/>
    <w:pPr>
      <w:suppressLineNumbers/>
      <w:spacing w:before="120" w:after="120"/>
    </w:pPr>
    <w:rPr>
      <w:rFonts w:cs="Droid Sans Devanagari"/>
      <w:i/>
      <w:iCs/>
      <w:sz w:val="24"/>
      <w:szCs w:val="24"/>
    </w:rPr>
  </w:style>
  <w:style w:type="paragraph" w:styleId="Index" w:customStyle="1">
    <w:name w:val="Index"/>
    <w:basedOn w:val="Normal"/>
    <w:qFormat/>
    <w:pPr>
      <w:suppressLineNumbers/>
    </w:pPr>
    <w:rPr>
      <w:rFonts w:cs="Droid Sans Devanagari"/>
    </w:rPr>
  </w:style>
  <w:style w:type="paragraph" w:styleId="Caption1">
    <w:name w:val="caption"/>
    <w:basedOn w:val="Normal"/>
    <w:next w:val="Normal"/>
    <w:qFormat/>
    <w:pPr>
      <w:spacing w:lineRule="auto" w:line="240" w:before="0" w:after="200"/>
    </w:pPr>
    <w:rPr>
      <w:b/>
      <w:bCs/>
      <w:color w:val="4F81BD"/>
      <w:sz w:val="18"/>
      <w:szCs w:val="18"/>
    </w:rPr>
  </w:style>
  <w:style w:type="paragraph" w:styleId="Title">
    <w:name w:val="Title"/>
    <w:basedOn w:val="Normal"/>
    <w:next w:val="Normal"/>
    <w:qFormat/>
    <w:pPr>
      <w:keepNext w:val="true"/>
      <w:keepLines/>
      <w:spacing w:lineRule="auto" w:line="240" w:before="0" w:after="60"/>
    </w:pPr>
    <w:rPr>
      <w:color w:val="000000"/>
      <w:sz w:val="52"/>
      <w:szCs w:val="52"/>
    </w:rPr>
  </w:style>
  <w:style w:type="paragraph" w:styleId="Subtitle">
    <w:name w:val="Subtitle"/>
    <w:basedOn w:val="Normal"/>
    <w:next w:val="Normal"/>
    <w:qFormat/>
    <w:pPr>
      <w:keepNext w:val="true"/>
      <w:keepLines/>
      <w:spacing w:lineRule="auto" w:line="240" w:before="0" w:after="320"/>
    </w:pPr>
    <w:rPr>
      <w:color w:val="666666"/>
      <w:sz w:val="30"/>
      <w:szCs w:val="30"/>
    </w:rPr>
  </w:style>
  <w:style w:type="paragraph" w:styleId="BalloonText">
    <w:name w:val="Balloon Text"/>
    <w:basedOn w:val="Normal"/>
    <w:qFormat/>
    <w:pPr>
      <w:spacing w:lineRule="auto" w:line="240"/>
    </w:pPr>
    <w:rPr>
      <w:rFonts w:ascii="Tahoma" w:hAnsi="Tahoma" w:cs="Tahoma"/>
      <w:sz w:val="16"/>
      <w:szCs w:val="16"/>
    </w:rPr>
  </w:style>
  <w:style w:type="paragraph" w:styleId="HTMLPreformatted">
    <w:name w:val="HTML Preformatted"/>
    <w:basedOn w:val="Normal"/>
    <w:qFormat/>
    <w:pPr>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pPr>
    <w:rPr>
      <w:rFonts w:ascii="Courier New" w:hAnsi="Courier New" w:eastAsia="Times New Roman" w:cs="Courier New"/>
      <w:sz w:val="20"/>
      <w:szCs w:val="20"/>
    </w:rPr>
  </w:style>
  <w:style w:type="paragraph" w:styleId="ListParagraph">
    <w:name w:val="List Paragraph"/>
    <w:basedOn w:val="Normal"/>
    <w:qFormat/>
    <w:pPr>
      <w:spacing w:before="0" w:after="0"/>
      <w:ind w:left="720" w:hanging="0"/>
      <w:contextualSpacing/>
    </w:pPr>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rPr>
  </w:style>
  <w:style w:type="paragraph" w:styleId="TOCHeading">
    <w:name w:val="TOC Heading"/>
    <w:basedOn w:val="Heading1"/>
    <w:next w:val="Normal"/>
    <w:qFormat/>
    <w:pPr>
      <w:numPr>
        <w:ilvl w:val="0"/>
        <w:numId w:val="0"/>
      </w:numPr>
      <w:spacing w:before="480" w:after="120"/>
      <w:ind w:left="720" w:hanging="0"/>
      <w:contextualSpacing/>
    </w:pPr>
    <w:rPr>
      <w:rFonts w:eastAsia="Arial" w:cs="Arial"/>
      <w:b w:val="false"/>
      <w:bCs/>
      <w:color w:val="365F91"/>
      <w:sz w:val="28"/>
      <w:szCs w:val="28"/>
    </w:rPr>
  </w:style>
  <w:style w:type="paragraph" w:styleId="Contents1">
    <w:name w:val="TOC 1"/>
    <w:basedOn w:val="Normal"/>
    <w:next w:val="Normal"/>
    <w:autoRedefine/>
    <w:pPr>
      <w:spacing w:before="0" w:after="100"/>
    </w:pPr>
    <w:rPr/>
  </w:style>
  <w:style w:type="paragraph" w:styleId="Contents2">
    <w:name w:val="TOC 2"/>
    <w:basedOn w:val="Normal"/>
    <w:next w:val="Normal"/>
    <w:autoRedefine/>
    <w:pPr>
      <w:spacing w:before="0" w:after="100"/>
      <w:ind w:left="220" w:hanging="0"/>
    </w:pPr>
    <w:rPr/>
  </w:style>
  <w:style w:type="paragraph" w:styleId="Contents3">
    <w:name w:val="TOC 3"/>
    <w:basedOn w:val="Normal"/>
    <w:next w:val="Normal"/>
    <w:autoRedefine/>
    <w:pPr>
      <w:spacing w:before="0" w:after="100"/>
      <w:ind w:left="440" w:hanging="0"/>
    </w:pPr>
    <w:rPr/>
  </w:style>
  <w:style w:type="paragraph" w:styleId="HeaderandFooter" w:customStyle="1">
    <w:name w:val="Header and Footer"/>
    <w:basedOn w:val="Normal"/>
    <w:qFormat/>
    <w:pPr/>
    <w:rPr/>
  </w:style>
  <w:style w:type="paragraph" w:styleId="Footer">
    <w:name w:val="Footer"/>
    <w:basedOn w:val="HeaderandFooter"/>
    <w:pPr/>
    <w:rPr/>
  </w:style>
  <w:style w:type="paragraph" w:styleId="TableContents" w:customStyle="1">
    <w:name w:val="Table Contents"/>
    <w:basedOn w:val="Normal"/>
    <w:qFormat/>
    <w:pPr>
      <w:suppressLineNumbers/>
    </w:pPr>
    <w:rPr/>
  </w:style>
  <w:style w:type="paragraph" w:styleId="Figure" w:customStyle="1">
    <w:name w:val="Figure"/>
    <w:basedOn w:val="Caption1"/>
    <w:qFormat/>
    <w:pPr/>
    <w:rPr/>
  </w:style>
  <w:style w:type="paragraph" w:styleId="Annotationtext">
    <w:name w:val="annotation text"/>
    <w:basedOn w:val="Normal"/>
    <w:link w:val="CommentaireCar"/>
    <w:uiPriority w:val="99"/>
    <w:semiHidden/>
    <w:unhideWhenUsed/>
    <w:qFormat/>
    <w:pPr>
      <w:spacing w:lineRule="auto" w:line="240"/>
    </w:pPr>
    <w:rPr>
      <w:sz w:val="20"/>
      <w:szCs w:val="20"/>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florent.lyard@legos.obs-mip.fr"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hyperlink" Target="http://www.hydro.eaufrance.fr/" TargetMode="External"/><Relationship Id="rId11" Type="http://schemas.openxmlformats.org/officeDocument/2006/relationships/hyperlink" Target="https://www.vigicrues.gouv.fr/" TargetMode="External"/><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footer" Target="footer1.xml"/><Relationship Id="rId42" Type="http://schemas.openxmlformats.org/officeDocument/2006/relationships/comments" Target="comments.xml"/><Relationship Id="rId43" Type="http://schemas.openxmlformats.org/officeDocument/2006/relationships/numbering" Target="numbering.xml"/><Relationship Id="rId44" Type="http://schemas.openxmlformats.org/officeDocument/2006/relationships/fontTable" Target="fontTable.xml"/><Relationship Id="rId45" Type="http://schemas.openxmlformats.org/officeDocument/2006/relationships/settings" Target="settings.xml"/><Relationship Id="rId46" Type="http://schemas.openxmlformats.org/officeDocument/2006/relationships/theme" Target="theme/theme1.xml"/><Relationship Id="rId47"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8D05F-DC0A-434F-ADE8-EE53E0555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10165</TotalTime>
  <Application>LibreOffice/6.4.5.2$Linux_X86_64 LibreOffice_project/40$Build-2</Application>
  <Pages>39</Pages>
  <Words>6157</Words>
  <Characters>31258</Characters>
  <CharactersWithSpaces>37165</CharactersWithSpaces>
  <Paragraphs>540</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2020-10-27T17:09:00Z</dcterms:created>
  <dc:creator>lyard</dc:creator>
  <dc:description/>
  <dc:language>en-US</dc:language>
  <cp:lastModifiedBy>Damien Allain</cp:lastModifiedBy>
  <cp:lastPrinted>2020-11-17T16:52:00Z</cp:lastPrinted>
  <dcterms:modified xsi:type="dcterms:W3CDTF">2020-11-24T10:20:18Z</dcterms:modified>
  <cp:revision>45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